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B0F03B4"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4C4BF8">
        <w:rPr>
          <w:lang w:eastAsia="en-US"/>
        </w:rPr>
        <w:t>- Starts September 2022</w:t>
      </w:r>
    </w:p>
    <w:p w14:paraId="46951EBA" w14:textId="0C0420A7" w:rsidR="001D1585" w:rsidRPr="001D1585" w:rsidRDefault="004C4BF8" w:rsidP="001D1585">
      <w:pPr>
        <w:pStyle w:val="Subtitle"/>
        <w:rPr>
          <w:rFonts w:eastAsia="Times New Roman" w:cs="Arial"/>
          <w:color w:val="595959"/>
          <w:spacing w:val="0"/>
          <w:sz w:val="20"/>
          <w:szCs w:val="40"/>
        </w:rPr>
      </w:pPr>
      <w:r>
        <w:rPr>
          <w:rFonts w:eastAsia="Times New Roman" w:cs="Arial"/>
          <w:color w:val="595959"/>
          <w:spacing w:val="0"/>
          <w:sz w:val="20"/>
          <w:szCs w:val="40"/>
        </w:rPr>
        <w:t>T</w:t>
      </w:r>
      <w:r w:rsidR="001D1585" w:rsidRPr="001D1585">
        <w:rPr>
          <w:rFonts w:eastAsia="Times New Roman" w:cs="Arial"/>
          <w:color w:val="595959"/>
          <w:spacing w:val="0"/>
          <w:sz w:val="20"/>
          <w:szCs w:val="40"/>
        </w:rPr>
        <w:t xml:space="preserve">he Mastering Number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001D1585" w:rsidRPr="001D1585">
        <w:rPr>
          <w:rFonts w:eastAsia="Times New Roman" w:cs="Arial"/>
          <w:color w:val="595959"/>
          <w:spacing w:val="0"/>
          <w:sz w:val="20"/>
          <w:szCs w:val="40"/>
        </w:rPr>
        <w:t>high quality professional development for teachers.</w:t>
      </w:r>
    </w:p>
    <w:p w14:paraId="710EE682" w14:textId="42E01278" w:rsidR="00FF5D1E" w:rsidRDefault="004C4BF8" w:rsidP="00FF5D1E">
      <w:pPr>
        <w:pStyle w:val="Subtitle"/>
        <w:rPr>
          <w:rFonts w:eastAsia="Times New Roman" w:cs="Arial"/>
          <w:color w:val="595959"/>
          <w:spacing w:val="0"/>
          <w:sz w:val="20"/>
          <w:szCs w:val="40"/>
        </w:rPr>
      </w:pPr>
      <w:r>
        <w:rPr>
          <w:rFonts w:eastAsia="Times New Roman" w:cs="Arial"/>
          <w:color w:val="595959"/>
          <w:spacing w:val="0"/>
          <w:sz w:val="20"/>
          <w:szCs w:val="40"/>
        </w:rPr>
        <w:t>Cambridge M</w:t>
      </w:r>
      <w:r w:rsidR="00FF5D1E" w:rsidRPr="001D1585">
        <w:rPr>
          <w:rFonts w:eastAsia="Times New Roman" w:cs="Arial"/>
          <w:color w:val="595959"/>
          <w:spacing w:val="0"/>
          <w:sz w:val="20"/>
          <w:szCs w:val="40"/>
        </w:rPr>
        <w:t xml:space="preserve">aths Hub is now seeking to recruit schools to </w:t>
      </w:r>
      <w:r w:rsidR="00CE62FC">
        <w:rPr>
          <w:rFonts w:eastAsia="Times New Roman" w:cs="Arial"/>
          <w:color w:val="595959"/>
          <w:spacing w:val="0"/>
          <w:sz w:val="20"/>
          <w:szCs w:val="40"/>
        </w:rPr>
        <w:t>join the</w:t>
      </w:r>
      <w:r w:rsidR="00FF5D1E" w:rsidRPr="001D1585">
        <w:rPr>
          <w:rFonts w:eastAsia="Times New Roman" w:cs="Arial"/>
          <w:color w:val="595959"/>
          <w:spacing w:val="0"/>
          <w:sz w:val="20"/>
          <w:szCs w:val="40"/>
        </w:rPr>
        <w:t xml:space="preserve"> Work Group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00FF5D1E" w:rsidRPr="001D1585">
        <w:rPr>
          <w:rFonts w:eastAsia="Times New Roman" w:cs="Arial"/>
          <w:color w:val="595959"/>
          <w:spacing w:val="0"/>
          <w:sz w:val="20"/>
          <w:szCs w:val="40"/>
        </w:rPr>
        <w:t>this programme</w:t>
      </w:r>
      <w:r w:rsidR="00AC277A">
        <w:rPr>
          <w:rFonts w:eastAsia="Times New Roman" w:cs="Arial"/>
          <w:color w:val="595959"/>
          <w:spacing w:val="0"/>
          <w:sz w:val="20"/>
          <w:szCs w:val="40"/>
        </w:rPr>
        <w:t>,</w:t>
      </w:r>
      <w:r w:rsidR="00954EBE">
        <w:rPr>
          <w:rFonts w:eastAsia="Times New Roman" w:cs="Arial"/>
          <w:color w:val="595959"/>
          <w:spacing w:val="0"/>
          <w:sz w:val="20"/>
          <w:szCs w:val="40"/>
        </w:rPr>
        <w:t xml:space="preserve"> to start in September 2022.</w:t>
      </w:r>
      <w:r w:rsidR="00FF5D1E" w:rsidRPr="001D1585">
        <w:rPr>
          <w:rFonts w:eastAsia="Times New Roman" w:cs="Arial"/>
          <w:color w:val="595959"/>
          <w:spacing w:val="0"/>
          <w:sz w:val="20"/>
          <w:szCs w:val="40"/>
        </w:rPr>
        <w:t xml:space="preserve">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5F6F10B0"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w:t>
      </w:r>
      <w:r w:rsidR="00AC277A">
        <w:t xml:space="preserve">training </w:t>
      </w:r>
      <w:r>
        <w:t xml:space="preserve">sessions, across the academic year. </w:t>
      </w:r>
    </w:p>
    <w:p w14:paraId="28CBA518" w14:textId="2A338BC8" w:rsidR="009A32CD" w:rsidRPr="003A3FEF" w:rsidRDefault="009A32CD" w:rsidP="009A32CD">
      <w:r>
        <w:t xml:space="preserve">Teachers will be expected to deliver a daily </w:t>
      </w:r>
      <w:r w:rsidR="006056C9">
        <w:t xml:space="preserve">Mastering Number </w:t>
      </w:r>
      <w:r>
        <w:t>session of 10 to 15 minutes</w:t>
      </w:r>
      <w:r w:rsidR="006056C9">
        <w:t>. In KS1, this will be</w:t>
      </w:r>
      <w:r>
        <w:t xml:space="preserve"> in addition to their daily maths lesson, which may be a little shorter as a result. Resources, including lesson</w:t>
      </w:r>
      <w:r w:rsidR="003A3FEF">
        <w:t xml:space="preserve"> plans and </w:t>
      </w:r>
      <w:r>
        <w:t xml:space="preserve">visual resources will be </w:t>
      </w:r>
      <w:r w:rsidRPr="003A3FEF">
        <w:t>provided.</w:t>
      </w:r>
      <w:r w:rsidR="009D4CDC" w:rsidRPr="003A3FEF">
        <w:t xml:space="preserve"> In Reception, the Mastering </w:t>
      </w:r>
      <w:r w:rsidR="00801132" w:rsidRPr="003A3FEF">
        <w:t xml:space="preserve">Number materials </w:t>
      </w:r>
      <w:r w:rsidR="006056C9">
        <w:t xml:space="preserve">can be </w:t>
      </w:r>
      <w:r w:rsidR="009D4CDC" w:rsidRPr="003A3FEF">
        <w:t>used to teach the number part of the Early Years Framework</w:t>
      </w:r>
      <w:r w:rsidR="00801132" w:rsidRPr="003A3FEF">
        <w:t>, along</w:t>
      </w:r>
      <w:r w:rsidR="003A3FEF" w:rsidRPr="003A3FEF">
        <w:t>side</w:t>
      </w:r>
      <w:r w:rsidR="00801132" w:rsidRPr="003A3FEF">
        <w:t xml:space="preserve"> your </w:t>
      </w:r>
      <w:r w:rsidR="00257666" w:rsidRPr="003A3FEF">
        <w:t>enhanced</w:t>
      </w:r>
      <w:r w:rsidR="00801132" w:rsidRPr="003A3FEF">
        <w:t xml:space="preserve"> provision</w:t>
      </w:r>
      <w:r w:rsidR="009D4CDC" w:rsidRPr="003A3FEF">
        <w:t>.</w:t>
      </w:r>
      <w:r w:rsidR="003A3FEF" w:rsidRPr="003A3FEF">
        <w:t xml:space="preserve"> </w:t>
      </w:r>
    </w:p>
    <w:p w14:paraId="54756803" w14:textId="678A60B9" w:rsidR="00DB4B04" w:rsidRPr="00020671" w:rsidRDefault="00DB4B04" w:rsidP="00DB4B04">
      <w:pPr>
        <w:pStyle w:val="Subtitle"/>
      </w:pPr>
      <w:r w:rsidRPr="003A3FEF">
        <w:t>Work Group</w:t>
      </w:r>
    </w:p>
    <w:p w14:paraId="1BEC5494" w14:textId="21367E0A" w:rsidR="00DB4B04" w:rsidRDefault="004C4BF8" w:rsidP="009A32CD">
      <w:r>
        <w:t>The</w:t>
      </w:r>
      <w:r w:rsidR="007C5A4D" w:rsidRPr="007C5A4D">
        <w:t xml:space="preserve"> Work Group will consist of up to 40 schools and </w:t>
      </w:r>
      <w:r w:rsidR="00AC277A">
        <w:t xml:space="preserve">will </w:t>
      </w:r>
      <w:r w:rsidR="007C5A4D" w:rsidRPr="007C5A4D">
        <w:t xml:space="preserve">be led by a </w:t>
      </w:r>
      <w:r w:rsidR="00A11C4C">
        <w:t>professional</w:t>
      </w:r>
      <w:r w:rsidR="007C5A4D" w:rsidRPr="007C5A4D">
        <w:t xml:space="preserve"> experienced in early maths and in leading professional development in the</w:t>
      </w:r>
      <w:r>
        <w:t xml:space="preserve"> Cambridge </w:t>
      </w:r>
      <w:r w:rsidR="007C5A4D" w:rsidRPr="007C5A4D">
        <w:t xml:space="preserve">Maths Hub area. During the year, teachers in the Work Group will work together to share experiences and reflect </w:t>
      </w:r>
      <w:r w:rsidR="00834636">
        <w:t>up</w:t>
      </w:r>
      <w:r w:rsidR="007C5A4D" w:rsidRPr="007C5A4D">
        <w:t>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r w:rsidR="009D4CDC">
        <w:t xml:space="preserve"> In addition to the three live central training sessions</w:t>
      </w:r>
      <w:r w:rsidR="00834636">
        <w:t xml:space="preserve"> above</w:t>
      </w:r>
      <w:r w:rsidR="009D4CDC">
        <w:t xml:space="preserve">, there will be </w:t>
      </w:r>
      <w:r w:rsidR="006356FE">
        <w:t>three live sessions led by the Cambridge Maths Hub Work Group Leads.</w:t>
      </w:r>
    </w:p>
    <w:p w14:paraId="09C68D49" w14:textId="77777777" w:rsidR="008C1238" w:rsidRDefault="008C1238">
      <w:pPr>
        <w:spacing w:before="0" w:line="240" w:lineRule="auto"/>
        <w:rPr>
          <w:rFonts w:eastAsiaTheme="minorEastAsia" w:cstheme="minorBidi"/>
          <w:color w:val="5A5A5A" w:themeColor="text1" w:themeTint="A5"/>
          <w:spacing w:val="15"/>
          <w:sz w:val="28"/>
          <w:szCs w:val="22"/>
        </w:rPr>
      </w:pPr>
      <w:r>
        <w:br w:type="page"/>
      </w:r>
    </w:p>
    <w:p w14:paraId="40923431" w14:textId="3B56BE12" w:rsidR="00A00E3E" w:rsidRPr="00A00E3E" w:rsidRDefault="000E2FEE" w:rsidP="002148F0">
      <w:pPr>
        <w:pStyle w:val="Subtitle"/>
      </w:pPr>
      <w:r>
        <w:lastRenderedPageBreak/>
        <w:t>B</w:t>
      </w:r>
      <w:r w:rsidR="00443A1D">
        <w:t>enefits for participating schools</w:t>
      </w:r>
    </w:p>
    <w:p w14:paraId="2785DDC1" w14:textId="6912105A" w:rsidR="00E74201" w:rsidRPr="00E74201" w:rsidRDefault="00834636" w:rsidP="00E74201">
      <w:r>
        <w:t xml:space="preserve">Participation </w:t>
      </w:r>
      <w:r w:rsidR="00E74201" w:rsidRPr="00E74201">
        <w:t>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2F38AFC2"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Any primary school can apply</w:t>
      </w:r>
      <w:r w:rsidR="004C4BF8">
        <w:rPr>
          <w:rFonts w:eastAsia="Times New Roman" w:cs="Arial"/>
          <w:color w:val="595959"/>
          <w:spacing w:val="0"/>
          <w:sz w:val="20"/>
          <w:szCs w:val="40"/>
        </w:rPr>
        <w:t xml:space="preserve">. </w:t>
      </w:r>
      <w:r w:rsidRPr="00E35125">
        <w:rPr>
          <w:rFonts w:eastAsia="Times New Roman" w:cs="Arial"/>
          <w:color w:val="595959"/>
          <w:spacing w:val="0"/>
          <w:sz w:val="20"/>
          <w:szCs w:val="40"/>
        </w:rPr>
        <w:t xml:space="preserve">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0E9387F9" w14:textId="36124595" w:rsidR="00B820EA" w:rsidRPr="00834636" w:rsidRDefault="00B820EA" w:rsidP="00B820EA">
      <w:pPr>
        <w:pStyle w:val="ListParagraph"/>
        <w:numPr>
          <w:ilvl w:val="0"/>
          <w:numId w:val="36"/>
        </w:numPr>
        <w:rPr>
          <w:rFonts w:ascii="Arial" w:hAnsi="Arial" w:cs="Arial"/>
          <w:color w:val="595959" w:themeColor="text1" w:themeTint="A6"/>
          <w:sz w:val="20"/>
        </w:rPr>
      </w:pPr>
      <w:r w:rsidRPr="00834636">
        <w:rPr>
          <w:rFonts w:ascii="Arial" w:hAnsi="Arial" w:cs="Arial"/>
          <w:color w:val="595959" w:themeColor="text1" w:themeTint="A6"/>
          <w:sz w:val="20"/>
        </w:rPr>
        <w:t xml:space="preserve">Teachers will be expected to deliver a daily Mastering Number session of 10 to 15 minutes. In KS1, this will be in </w:t>
      </w:r>
      <w:r w:rsidRPr="00834636">
        <w:rPr>
          <w:rFonts w:ascii="Arial" w:hAnsi="Arial" w:cs="Arial"/>
          <w:color w:val="595959" w:themeColor="text1" w:themeTint="A6"/>
          <w:sz w:val="20"/>
          <w:szCs w:val="20"/>
        </w:rPr>
        <w:t xml:space="preserve">addition to their daily maths lesson </w:t>
      </w:r>
      <w:r w:rsidRPr="00834636">
        <w:rPr>
          <w:rFonts w:ascii="Arial" w:eastAsia="Calibri" w:hAnsi="Arial" w:cs="Arial"/>
          <w:color w:val="595959" w:themeColor="text1" w:themeTint="A6"/>
          <w:sz w:val="20"/>
          <w:szCs w:val="20"/>
          <w:lang w:val="en-US"/>
        </w:rPr>
        <w:t>(which could be shortened as a result of participation in this Work Group)</w:t>
      </w:r>
      <w:r w:rsidRPr="00834636">
        <w:rPr>
          <w:rFonts w:ascii="Arial" w:hAnsi="Arial" w:cs="Arial"/>
          <w:color w:val="595959" w:themeColor="text1" w:themeTint="A6"/>
          <w:sz w:val="20"/>
          <w:szCs w:val="20"/>
        </w:rPr>
        <w:t>. In</w:t>
      </w:r>
      <w:r w:rsidRPr="00834636">
        <w:rPr>
          <w:rFonts w:ascii="Arial" w:hAnsi="Arial" w:cs="Arial"/>
          <w:color w:val="595959" w:themeColor="text1" w:themeTint="A6"/>
          <w:sz w:val="20"/>
        </w:rPr>
        <w:t xml:space="preserve"> Reception, the Mastering Number materials can be used to teach the number part of the Early Years Framework, alongside their enhanced provision. </w:t>
      </w:r>
    </w:p>
    <w:p w14:paraId="43D89EED" w14:textId="5ED94C70" w:rsidR="00716F42" w:rsidRPr="00716F42" w:rsidRDefault="004A754D" w:rsidP="003A3FEF">
      <w:pPr>
        <w:pStyle w:val="Subtitle"/>
        <w:numPr>
          <w:ilvl w:val="0"/>
          <w:numId w:val="36"/>
        </w:numPr>
        <w:spacing w:before="0"/>
        <w:rPr>
          <w:rFonts w:eastAsia="Times New Roman" w:cs="Arial"/>
          <w:color w:val="595959"/>
          <w:spacing w:val="0"/>
          <w:sz w:val="20"/>
          <w:szCs w:val="40"/>
        </w:rPr>
      </w:pPr>
      <w:r>
        <w:rPr>
          <w:rFonts w:eastAsia="Times New Roman" w:cs="Arial"/>
          <w:color w:val="595959"/>
          <w:spacing w:val="0"/>
          <w:sz w:val="20"/>
          <w:szCs w:val="40"/>
        </w:rPr>
        <w:t>T</w:t>
      </w:r>
      <w:r w:rsidR="00716F42"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w:t>
      </w:r>
      <w:r w:rsidR="005747E7">
        <w:rPr>
          <w:rFonts w:eastAsia="Times New Roman" w:cs="Arial"/>
          <w:color w:val="595959"/>
          <w:spacing w:val="0"/>
          <w:sz w:val="20"/>
          <w:szCs w:val="40"/>
        </w:rPr>
        <w:t>gramme.</w:t>
      </w:r>
    </w:p>
    <w:p w14:paraId="6855C6EF" w14:textId="762F963A" w:rsidR="00716F42" w:rsidRPr="00716F42" w:rsidRDefault="007131B4" w:rsidP="003A3FEF">
      <w:pPr>
        <w:pStyle w:val="Subtitle"/>
        <w:numPr>
          <w:ilvl w:val="0"/>
          <w:numId w:val="36"/>
        </w:numPr>
        <w:spacing w:before="0"/>
        <w:rPr>
          <w:rFonts w:eastAsia="Times New Roman" w:cs="Arial"/>
          <w:color w:val="595959"/>
          <w:spacing w:val="0"/>
          <w:sz w:val="20"/>
          <w:szCs w:val="40"/>
        </w:rPr>
      </w:pPr>
      <w:r>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00716F42" w:rsidRPr="00716F42">
        <w:rPr>
          <w:rFonts w:eastAsia="Times New Roman" w:cs="Arial"/>
          <w:color w:val="595959"/>
          <w:spacing w:val="0"/>
          <w:sz w:val="20"/>
          <w:szCs w:val="40"/>
        </w:rPr>
        <w:t>will engage in all online synchronous and asynchronous professional development</w:t>
      </w:r>
      <w:r w:rsidR="005747E7" w:rsidRPr="005747E7">
        <w:rPr>
          <w:rFonts w:eastAsia="Times New Roman" w:cs="Arial"/>
          <w:color w:val="595959"/>
          <w:spacing w:val="0"/>
          <w:sz w:val="20"/>
          <w:szCs w:val="40"/>
        </w:rPr>
        <w:t xml:space="preserve"> </w:t>
      </w:r>
      <w:r w:rsidR="005747E7" w:rsidRPr="00716F42">
        <w:rPr>
          <w:rFonts w:eastAsia="Times New Roman" w:cs="Arial"/>
          <w:color w:val="595959"/>
          <w:spacing w:val="0"/>
          <w:sz w:val="20"/>
          <w:szCs w:val="40"/>
        </w:rPr>
        <w:t>throughout the academic year</w:t>
      </w:r>
      <w:r w:rsidR="00716F42" w:rsidRPr="00716F42">
        <w:rPr>
          <w:rFonts w:eastAsia="Times New Roman" w:cs="Arial"/>
          <w:color w:val="595959"/>
          <w:spacing w:val="0"/>
          <w:sz w:val="20"/>
          <w:szCs w:val="40"/>
        </w:rPr>
        <w:t xml:space="preserve">, including three live </w:t>
      </w:r>
      <w:r w:rsidR="005747E7">
        <w:rPr>
          <w:rFonts w:eastAsia="Times New Roman" w:cs="Arial"/>
          <w:color w:val="595959"/>
          <w:spacing w:val="0"/>
          <w:sz w:val="20"/>
          <w:szCs w:val="40"/>
        </w:rPr>
        <w:t xml:space="preserve">central training </w:t>
      </w:r>
      <w:r w:rsidR="00716F42" w:rsidRPr="00716F42">
        <w:rPr>
          <w:rFonts w:eastAsia="Times New Roman" w:cs="Arial"/>
          <w:color w:val="595959"/>
          <w:spacing w:val="0"/>
          <w:sz w:val="20"/>
          <w:szCs w:val="40"/>
        </w:rPr>
        <w:t>sessions</w:t>
      </w:r>
      <w:r w:rsidR="005747E7">
        <w:rPr>
          <w:rFonts w:eastAsia="Times New Roman" w:cs="Arial"/>
          <w:color w:val="595959"/>
          <w:spacing w:val="0"/>
          <w:sz w:val="20"/>
          <w:szCs w:val="40"/>
        </w:rPr>
        <w:t xml:space="preserve"> led by the NCETM and three local sessions led by Cambridge Maths Hub WG Leads.</w:t>
      </w:r>
      <w:r w:rsidR="00716F42" w:rsidRPr="00716F42">
        <w:rPr>
          <w:rFonts w:eastAsia="Times New Roman" w:cs="Arial"/>
          <w:color w:val="595959"/>
          <w:spacing w:val="0"/>
          <w:sz w:val="20"/>
          <w:szCs w:val="40"/>
        </w:rPr>
        <w:t xml:space="preserve"> </w:t>
      </w:r>
    </w:p>
    <w:p w14:paraId="6CA68E1B" w14:textId="7E640CA9" w:rsidR="003A3FEF" w:rsidRPr="003A3FEF" w:rsidRDefault="007131B4" w:rsidP="003A3FEF">
      <w:pPr>
        <w:pStyle w:val="Subtitle"/>
        <w:numPr>
          <w:ilvl w:val="0"/>
          <w:numId w:val="36"/>
        </w:numPr>
        <w:spacing w:before="0"/>
        <w:rPr>
          <w:rFonts w:eastAsia="Times New Roman" w:cs="Arial"/>
          <w:color w:val="595959"/>
          <w:spacing w:val="0"/>
          <w:sz w:val="20"/>
          <w:szCs w:val="40"/>
        </w:rPr>
      </w:pPr>
      <w:r>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2760D25" w14:textId="77777777" w:rsidR="003A3FEF" w:rsidRPr="00BF0A17" w:rsidRDefault="003A3FEF" w:rsidP="003A3FEF">
      <w:pPr>
        <w:numPr>
          <w:ilvl w:val="0"/>
          <w:numId w:val="36"/>
        </w:numPr>
        <w:spacing w:before="0" w:after="160" w:line="240" w:lineRule="auto"/>
        <w:textAlignment w:val="baseline"/>
        <w:rPr>
          <w:rFonts w:cstheme="minorHAnsi"/>
        </w:rPr>
      </w:pPr>
      <w:r w:rsidRPr="00BF0A17">
        <w:t>The school’s leadership team will ensure attendance at programme events and will support Lead Teachers in their development of the wider staff.</w:t>
      </w:r>
    </w:p>
    <w:p w14:paraId="04600395" w14:textId="77777777" w:rsidR="003A3FEF" w:rsidRPr="003A3FEF" w:rsidRDefault="003A3FEF" w:rsidP="003A3FEF"/>
    <w:p w14:paraId="022AF5B9" w14:textId="0A872F66" w:rsidR="000B5FEC" w:rsidRDefault="00026C6F" w:rsidP="0037694B">
      <w:pPr>
        <w:pStyle w:val="Subtitle"/>
        <w:spacing w:before="0" w:after="0"/>
        <w:ind w:left="284" w:hanging="284"/>
      </w:pPr>
      <w:r>
        <w:t>Funding</w:t>
      </w:r>
    </w:p>
    <w:p w14:paraId="22DB4FEB" w14:textId="54F105AD"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w:t>
      </w:r>
    </w:p>
    <w:p w14:paraId="0C078E0A" w14:textId="77777777" w:rsidR="00E968D5" w:rsidRPr="00E968D5" w:rsidRDefault="00E968D5" w:rsidP="00E968D5">
      <w:pPr>
        <w:spacing w:before="0"/>
        <w:rPr>
          <w:color w:val="283C46"/>
          <w:sz w:val="28"/>
          <w:szCs w:val="20"/>
          <w:shd w:val="clear" w:color="auto" w:fill="FFFFFF"/>
        </w:rPr>
      </w:pPr>
      <w:r w:rsidRPr="00E968D5">
        <w:rPr>
          <w:color w:val="283C46"/>
          <w:sz w:val="28"/>
          <w:szCs w:val="20"/>
          <w:shd w:val="clear" w:color="auto" w:fill="FFFFFF"/>
        </w:rPr>
        <w:t>Rekenreks</w:t>
      </w:r>
    </w:p>
    <w:p w14:paraId="47E21032" w14:textId="77777777" w:rsidR="00E968D5" w:rsidRDefault="00E968D5" w:rsidP="00E968D5">
      <w:pPr>
        <w:spacing w:before="0"/>
        <w:rPr>
          <w:color w:val="283C46"/>
          <w:szCs w:val="20"/>
          <w:shd w:val="clear" w:color="auto" w:fill="FFFFFF"/>
        </w:rPr>
      </w:pPr>
    </w:p>
    <w:p w14:paraId="071BCF1C" w14:textId="282C55BE" w:rsidR="0079639A" w:rsidRPr="00873379" w:rsidRDefault="0079639A" w:rsidP="00E968D5">
      <w:pPr>
        <w:spacing w:before="0"/>
        <w:rPr>
          <w:szCs w:val="20"/>
        </w:rPr>
      </w:pPr>
      <w:r w:rsidRPr="00873379">
        <w:rPr>
          <w:color w:val="283C46"/>
          <w:szCs w:val="20"/>
          <w:shd w:val="clear" w:color="auto" w:fill="FFFFFF"/>
        </w:rPr>
        <w:t>Whilst digital rekenreks are freely available online, schools taking part in the September start cohort of this programme may wish to consider purchasing class sets of physical rekenreks for Year 1 and Year 2 prior to the start of the programme.</w:t>
      </w:r>
      <w:r w:rsidR="00AC277A">
        <w:rPr>
          <w:color w:val="283C46"/>
          <w:szCs w:val="20"/>
          <w:shd w:val="clear" w:color="auto" w:fill="FFFFFF"/>
        </w:rPr>
        <w:t xml:space="preserve"> In Reception, Rekenreks are used for the final half term of the year.</w:t>
      </w:r>
    </w:p>
    <w:p w14:paraId="60A6223E" w14:textId="5C14BE74" w:rsidR="004E7134" w:rsidRDefault="004E7134" w:rsidP="004E7134">
      <w:pPr>
        <w:pStyle w:val="Subtitle"/>
      </w:pPr>
      <w:r>
        <w:t>How to apply</w:t>
      </w:r>
    </w:p>
    <w:p w14:paraId="68CA1FAF" w14:textId="77777777" w:rsidR="00ED2E4B" w:rsidRDefault="0092708A" w:rsidP="004C4BF8">
      <w:r>
        <w:t>Schools interested in applying to be part of a Work Group in 202</w:t>
      </w:r>
      <w:r w:rsidR="004C4BF8">
        <w:t>2</w:t>
      </w:r>
      <w:r>
        <w:t>/2</w:t>
      </w:r>
      <w:r w:rsidR="004C4BF8">
        <w:t>3</w:t>
      </w:r>
      <w:r>
        <w:t xml:space="preserve"> should complete the application form below and </w:t>
      </w:r>
      <w:r w:rsidR="000D56DE" w:rsidRPr="000D56DE">
        <w:rPr>
          <w:b/>
          <w:bCs w:val="0"/>
        </w:rPr>
        <w:t xml:space="preserve">email </w:t>
      </w:r>
      <w:r w:rsidRPr="000D56DE">
        <w:rPr>
          <w:b/>
          <w:bCs w:val="0"/>
        </w:rPr>
        <w:t xml:space="preserve">to </w:t>
      </w:r>
      <w:hyperlink r:id="rId11" w:history="1">
        <w:r w:rsidR="008C7961" w:rsidRPr="00556846">
          <w:rPr>
            <w:rStyle w:val="Hyperlink"/>
            <w:b/>
            <w:bCs w:val="0"/>
          </w:rPr>
          <w:t>admin@cambridgemathshub.org</w:t>
        </w:r>
      </w:hyperlink>
      <w:r>
        <w:t xml:space="preserve">. </w:t>
      </w:r>
    </w:p>
    <w:p w14:paraId="4D31D796" w14:textId="7A608AF8" w:rsidR="008720BC" w:rsidRPr="00ED2E4B" w:rsidRDefault="00ED2E4B" w:rsidP="004C4BF8">
      <w:pPr>
        <w:rPr>
          <w:b/>
        </w:rPr>
      </w:pPr>
      <w:r w:rsidRPr="00ED2E4B">
        <w:rPr>
          <w:b/>
        </w:rPr>
        <w:t>Closing date:</w:t>
      </w:r>
      <w:r w:rsidR="00AB084B" w:rsidRPr="00ED2E4B">
        <w:rPr>
          <w:b/>
        </w:rPr>
        <w:t xml:space="preserve"> </w:t>
      </w:r>
      <w:r w:rsidR="004B4A5C" w:rsidRPr="004B4A5C">
        <w:rPr>
          <w:b/>
          <w:color w:val="000000" w:themeColor="text1"/>
        </w:rPr>
        <w:t>Monday</w:t>
      </w:r>
      <w:r w:rsidR="006D7193">
        <w:rPr>
          <w:b/>
        </w:rPr>
        <w:t xml:space="preserve"> </w:t>
      </w:r>
      <w:r w:rsidR="006D7193" w:rsidRPr="006D7193">
        <w:rPr>
          <w:rStyle w:val="Hyperlink"/>
          <w:rFonts w:eastAsia="Calibri"/>
          <w:b/>
          <w:color w:val="000000" w:themeColor="text1"/>
          <w:szCs w:val="20"/>
          <w:u w:val="none"/>
          <w:lang w:eastAsia="en-US"/>
        </w:rPr>
        <w:t>1</w:t>
      </w:r>
      <w:r w:rsidR="004B4A5C">
        <w:rPr>
          <w:rStyle w:val="Hyperlink"/>
          <w:rFonts w:eastAsia="Calibri"/>
          <w:b/>
          <w:color w:val="000000" w:themeColor="text1"/>
          <w:szCs w:val="20"/>
          <w:u w:val="none"/>
          <w:lang w:eastAsia="en-US"/>
        </w:rPr>
        <w:t>8</w:t>
      </w:r>
      <w:r w:rsidR="006D7193" w:rsidRPr="006D7193">
        <w:rPr>
          <w:rStyle w:val="Hyperlink"/>
          <w:rFonts w:eastAsia="Calibri"/>
          <w:b/>
          <w:color w:val="000000" w:themeColor="text1"/>
          <w:szCs w:val="20"/>
          <w:u w:val="none"/>
          <w:vertAlign w:val="superscript"/>
          <w:lang w:eastAsia="en-US"/>
        </w:rPr>
        <w:t>th</w:t>
      </w:r>
      <w:r w:rsidR="006D7193" w:rsidRPr="006D7193">
        <w:rPr>
          <w:rStyle w:val="Hyperlink"/>
          <w:rFonts w:eastAsia="Calibri"/>
          <w:b/>
          <w:color w:val="000000" w:themeColor="text1"/>
          <w:szCs w:val="20"/>
          <w:u w:val="none"/>
          <w:lang w:eastAsia="en-US"/>
        </w:rPr>
        <w:t xml:space="preserve"> July 2022</w:t>
      </w:r>
    </w:p>
    <w:p w14:paraId="3CFF5A0B" w14:textId="2D24EECB" w:rsidR="004C4BF8" w:rsidRDefault="004C4BF8">
      <w:pPr>
        <w:spacing w:before="0" w:line="240" w:lineRule="auto"/>
      </w:pPr>
      <w:r>
        <w:br w:type="page"/>
      </w:r>
    </w:p>
    <w:p w14:paraId="7CE9A69A" w14:textId="77777777" w:rsidR="004C4BF8" w:rsidRDefault="004C4BF8" w:rsidP="004C4BF8"/>
    <w:p w14:paraId="78C83A73" w14:textId="75274EC8" w:rsidR="008720BC" w:rsidRPr="00442B70" w:rsidRDefault="00BE0E69" w:rsidP="008720BC">
      <w:pPr>
        <w:pStyle w:val="Subtitle"/>
        <w:jc w:val="center"/>
        <w:rPr>
          <w:rFonts w:eastAsia="Calibri"/>
          <w:color w:val="000000" w:themeColor="text1"/>
          <w:lang w:val="en-US" w:eastAsia="en-US"/>
        </w:rPr>
      </w:pPr>
      <w:r w:rsidRPr="00442B70">
        <w:rPr>
          <w:rFonts w:eastAsia="Calibri"/>
          <w:color w:val="000000" w:themeColor="text1"/>
          <w:lang w:eastAsia="en-US"/>
        </w:rPr>
        <w:t>Mastering Number</w:t>
      </w:r>
      <w:r w:rsidR="0016451D" w:rsidRPr="00442B70">
        <w:rPr>
          <w:rFonts w:eastAsia="Calibri"/>
          <w:color w:val="000000" w:themeColor="text1"/>
          <w:lang w:eastAsia="en-US"/>
        </w:rPr>
        <w:t xml:space="preserve"> </w:t>
      </w:r>
      <w:r w:rsidR="008720BC" w:rsidRPr="00442B70">
        <w:rPr>
          <w:rFonts w:eastAsia="Calibri"/>
          <w:color w:val="000000" w:themeColor="text1"/>
          <w:lang w:eastAsia="en-US"/>
        </w:rPr>
        <w:t>Work Group</w:t>
      </w:r>
    </w:p>
    <w:p w14:paraId="3FCAFBA5" w14:textId="273082D9" w:rsidR="008720BC" w:rsidRPr="00442B70" w:rsidRDefault="000128EF" w:rsidP="008720BC">
      <w:pPr>
        <w:pStyle w:val="Subtitle"/>
        <w:jc w:val="center"/>
        <w:rPr>
          <w:rFonts w:eastAsia="Calibri"/>
          <w:color w:val="000000" w:themeColor="text1"/>
          <w:lang w:val="en-US" w:eastAsia="en-US"/>
        </w:rPr>
      </w:pPr>
      <w:r w:rsidRPr="00442B70">
        <w:rPr>
          <w:rFonts w:eastAsia="Calibri"/>
          <w:color w:val="000000" w:themeColor="text1"/>
          <w:lang w:val="en-US" w:eastAsia="en-US"/>
        </w:rPr>
        <w:t>Application</w:t>
      </w:r>
      <w:r w:rsidR="008720BC" w:rsidRPr="00442B70">
        <w:rPr>
          <w:rFonts w:eastAsia="Calibri"/>
          <w:color w:val="000000" w:themeColor="text1"/>
          <w:lang w:val="en-US" w:eastAsia="en-US"/>
        </w:rPr>
        <w:t xml:space="preserve"> Form</w:t>
      </w:r>
    </w:p>
    <w:p w14:paraId="6008A727" w14:textId="0A316355"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442B70">
        <w:rPr>
          <w:rFonts w:eastAsia="Calibri"/>
          <w:bCs w:val="0"/>
          <w:i/>
          <w:iCs/>
          <w:color w:val="000000" w:themeColor="text1"/>
          <w:szCs w:val="20"/>
          <w:lang w:val="en-US" w:eastAsia="en-US"/>
        </w:rPr>
        <w:t xml:space="preserve"> </w:t>
      </w:r>
      <w:r w:rsidRPr="00442B70">
        <w:rPr>
          <w:rFonts w:eastAsia="Calibri"/>
          <w:bCs w:val="0"/>
          <w:i/>
          <w:iCs/>
          <w:color w:val="000000" w:themeColor="text1"/>
          <w:szCs w:val="20"/>
          <w:lang w:eastAsia="en-US"/>
        </w:rPr>
        <w:t xml:space="preserve">Please complete and return to </w:t>
      </w:r>
      <w:hyperlink r:id="rId12" w:history="1">
        <w:r w:rsidR="008C7961" w:rsidRPr="00556846">
          <w:rPr>
            <w:rStyle w:val="Hyperlink"/>
            <w:rFonts w:eastAsia="Calibri"/>
            <w:bCs w:val="0"/>
            <w:i/>
            <w:iCs/>
            <w:szCs w:val="20"/>
            <w:lang w:eastAsia="en-US"/>
          </w:rPr>
          <w:t>admin@cambridgemathshub.org</w:t>
        </w:r>
      </w:hyperlink>
      <w:r w:rsidR="001876F1" w:rsidRPr="001876F1">
        <w:rPr>
          <w:rStyle w:val="Hyperlink"/>
          <w:rFonts w:eastAsia="Calibri"/>
          <w:bCs w:val="0"/>
          <w:i/>
          <w:iCs/>
          <w:szCs w:val="20"/>
          <w:u w:val="none"/>
          <w:lang w:eastAsia="en-US"/>
        </w:rPr>
        <w:t xml:space="preserve"> </w:t>
      </w:r>
      <w:r w:rsidR="001876F1" w:rsidRPr="001876F1">
        <w:rPr>
          <w:rStyle w:val="Hyperlink"/>
          <w:rFonts w:eastAsia="Calibri"/>
          <w:bCs w:val="0"/>
          <w:color w:val="000000" w:themeColor="text1"/>
          <w:szCs w:val="20"/>
          <w:u w:val="none"/>
          <w:lang w:eastAsia="en-US"/>
        </w:rPr>
        <w:t xml:space="preserve">before </w:t>
      </w:r>
      <w:r w:rsidR="001876F1" w:rsidRPr="009A26B5">
        <w:rPr>
          <w:rStyle w:val="Hyperlink"/>
          <w:rFonts w:eastAsia="Calibri"/>
          <w:b/>
          <w:color w:val="000000" w:themeColor="text1"/>
          <w:szCs w:val="20"/>
          <w:u w:val="none"/>
          <w:lang w:eastAsia="en-US"/>
        </w:rPr>
        <w:t>1</w:t>
      </w:r>
      <w:r w:rsidR="004B4A5C">
        <w:rPr>
          <w:rStyle w:val="Hyperlink"/>
          <w:rFonts w:eastAsia="Calibri"/>
          <w:b/>
          <w:color w:val="000000" w:themeColor="text1"/>
          <w:szCs w:val="20"/>
          <w:u w:val="none"/>
          <w:lang w:eastAsia="en-US"/>
        </w:rPr>
        <w:t>8</w:t>
      </w:r>
      <w:bookmarkStart w:id="0" w:name="_GoBack"/>
      <w:bookmarkEnd w:id="0"/>
      <w:r w:rsidR="001876F1" w:rsidRPr="009A26B5">
        <w:rPr>
          <w:rStyle w:val="Hyperlink"/>
          <w:rFonts w:eastAsia="Calibri"/>
          <w:b/>
          <w:color w:val="000000" w:themeColor="text1"/>
          <w:szCs w:val="20"/>
          <w:u w:val="none"/>
          <w:vertAlign w:val="superscript"/>
          <w:lang w:eastAsia="en-US"/>
        </w:rPr>
        <w:t>th</w:t>
      </w:r>
      <w:r w:rsidR="001876F1" w:rsidRPr="009A26B5">
        <w:rPr>
          <w:rStyle w:val="Hyperlink"/>
          <w:rFonts w:eastAsia="Calibri"/>
          <w:b/>
          <w:color w:val="000000" w:themeColor="text1"/>
          <w:szCs w:val="20"/>
          <w:u w:val="none"/>
          <w:lang w:eastAsia="en-US"/>
        </w:rPr>
        <w:t xml:space="preserve"> July 2022</w:t>
      </w:r>
      <w:r w:rsidR="006D7193">
        <w:rPr>
          <w:rStyle w:val="Hyperlink"/>
          <w:rFonts w:eastAsia="Calibri"/>
          <w:bCs w:val="0"/>
          <w:color w:val="000000" w:themeColor="text1"/>
          <w:szCs w:val="20"/>
          <w:u w:val="none"/>
          <w:lang w:eastAsia="en-US"/>
        </w:rPr>
        <w:t>.</w:t>
      </w:r>
    </w:p>
    <w:p w14:paraId="4701712A" w14:textId="119F4806" w:rsidR="008720BC" w:rsidRPr="00171B46" w:rsidRDefault="008720BC" w:rsidP="008720BC">
      <w:pPr>
        <w:spacing w:before="0" w:after="6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3029"/>
        <w:gridCol w:w="1644"/>
        <w:gridCol w:w="1385"/>
        <w:gridCol w:w="3029"/>
      </w:tblGrid>
      <w:tr w:rsidR="0089143F" w:rsidRPr="00171B46" w14:paraId="01B3E330" w14:textId="77777777" w:rsidTr="0089143F">
        <w:trPr>
          <w:trHeight w:val="279"/>
          <w:jc w:val="center"/>
        </w:trPr>
        <w:tc>
          <w:tcPr>
            <w:tcW w:w="9087" w:type="dxa"/>
            <w:gridSpan w:val="4"/>
          </w:tcPr>
          <w:p w14:paraId="660C5208" w14:textId="3B4A33A0" w:rsidR="0089143F" w:rsidRPr="00171B46" w:rsidRDefault="0089143F" w:rsidP="008720BC">
            <w:pPr>
              <w:spacing w:before="0" w:line="276" w:lineRule="auto"/>
              <w:rPr>
                <w:rFonts w:cs="Arial"/>
                <w:color w:val="000000" w:themeColor="text1"/>
                <w:szCs w:val="20"/>
              </w:rPr>
            </w:pPr>
            <w:r w:rsidRPr="00171B46">
              <w:rPr>
                <w:rFonts w:cs="Arial"/>
                <w:color w:val="000000" w:themeColor="text1"/>
                <w:szCs w:val="20"/>
              </w:rPr>
              <w:t>Name of school</w:t>
            </w:r>
            <w:r>
              <w:rPr>
                <w:rFonts w:cs="Arial"/>
                <w:color w:val="000000" w:themeColor="text1"/>
                <w:szCs w:val="20"/>
              </w:rPr>
              <w:t xml:space="preserve">: </w:t>
            </w:r>
          </w:p>
        </w:tc>
      </w:tr>
      <w:tr w:rsidR="0089143F" w:rsidRPr="00171B46" w14:paraId="755EBDFD" w14:textId="77777777" w:rsidTr="0089143F">
        <w:trPr>
          <w:trHeight w:val="279"/>
          <w:jc w:val="center"/>
        </w:trPr>
        <w:tc>
          <w:tcPr>
            <w:tcW w:w="9087" w:type="dxa"/>
            <w:gridSpan w:val="4"/>
          </w:tcPr>
          <w:p w14:paraId="7DAF9F1E" w14:textId="0E5CF760" w:rsidR="0089143F" w:rsidRPr="00171B46" w:rsidRDefault="0089143F" w:rsidP="008720BC">
            <w:pPr>
              <w:spacing w:before="0" w:line="276" w:lineRule="auto"/>
              <w:rPr>
                <w:rFonts w:cs="Arial"/>
                <w:color w:val="000000" w:themeColor="text1"/>
                <w:szCs w:val="20"/>
              </w:rPr>
            </w:pPr>
            <w:r w:rsidRPr="00171B46">
              <w:rPr>
                <w:rFonts w:cs="Arial"/>
                <w:color w:val="000000" w:themeColor="text1"/>
                <w:szCs w:val="20"/>
              </w:rPr>
              <w:t>Address</w:t>
            </w:r>
            <w:r>
              <w:rPr>
                <w:rFonts w:cs="Arial"/>
                <w:color w:val="000000" w:themeColor="text1"/>
                <w:szCs w:val="20"/>
              </w:rPr>
              <w:t xml:space="preserve">: </w:t>
            </w:r>
          </w:p>
          <w:p w14:paraId="06AACE76" w14:textId="111F6D45" w:rsidR="0089143F" w:rsidRDefault="0089143F" w:rsidP="008720BC">
            <w:pPr>
              <w:spacing w:before="0" w:line="276" w:lineRule="auto"/>
              <w:rPr>
                <w:rFonts w:cs="Arial"/>
                <w:color w:val="000000" w:themeColor="text1"/>
                <w:szCs w:val="20"/>
              </w:rPr>
            </w:pPr>
          </w:p>
          <w:p w14:paraId="66BCD5B0" w14:textId="22AA9F37" w:rsidR="0089143F" w:rsidRPr="00171B46" w:rsidRDefault="0089143F" w:rsidP="008720BC">
            <w:pPr>
              <w:spacing w:before="0" w:line="276" w:lineRule="auto"/>
              <w:rPr>
                <w:rFonts w:cs="Arial"/>
                <w:color w:val="000000" w:themeColor="text1"/>
                <w:szCs w:val="20"/>
              </w:rPr>
            </w:pPr>
          </w:p>
        </w:tc>
      </w:tr>
      <w:tr w:rsidR="0089143F" w:rsidRPr="00171B46" w14:paraId="259C3957" w14:textId="341C2602" w:rsidTr="0089143F">
        <w:trPr>
          <w:trHeight w:val="549"/>
          <w:jc w:val="center"/>
        </w:trPr>
        <w:tc>
          <w:tcPr>
            <w:tcW w:w="3029" w:type="dxa"/>
          </w:tcPr>
          <w:p w14:paraId="12822398" w14:textId="4FDB18E1" w:rsidR="0089143F" w:rsidRPr="00171B46" w:rsidRDefault="0089143F" w:rsidP="008720BC">
            <w:pPr>
              <w:spacing w:before="0" w:line="276" w:lineRule="auto"/>
              <w:rPr>
                <w:rFonts w:cs="Arial"/>
                <w:color w:val="000000" w:themeColor="text1"/>
                <w:szCs w:val="20"/>
              </w:rPr>
            </w:pPr>
            <w:r w:rsidRPr="00171B46">
              <w:rPr>
                <w:rFonts w:cs="Arial"/>
                <w:color w:val="000000" w:themeColor="text1"/>
                <w:szCs w:val="20"/>
              </w:rPr>
              <w:t>School URN</w:t>
            </w:r>
            <w:r>
              <w:rPr>
                <w:rFonts w:cs="Arial"/>
                <w:color w:val="000000" w:themeColor="text1"/>
                <w:szCs w:val="20"/>
              </w:rPr>
              <w:t xml:space="preserve">: </w:t>
            </w:r>
          </w:p>
        </w:tc>
        <w:tc>
          <w:tcPr>
            <w:tcW w:w="3029" w:type="dxa"/>
            <w:gridSpan w:val="2"/>
          </w:tcPr>
          <w:p w14:paraId="36EADF49" w14:textId="3396A66A" w:rsidR="0089143F" w:rsidRPr="00171B46" w:rsidRDefault="0089143F" w:rsidP="008720BC">
            <w:pPr>
              <w:spacing w:before="0" w:line="276" w:lineRule="auto"/>
              <w:rPr>
                <w:b w:val="0"/>
                <w:bCs/>
                <w:color w:val="000000" w:themeColor="text1"/>
                <w:szCs w:val="20"/>
              </w:rPr>
            </w:pPr>
            <w:r>
              <w:rPr>
                <w:color w:val="000000" w:themeColor="text1"/>
                <w:szCs w:val="20"/>
              </w:rPr>
              <w:t>% FSM:</w:t>
            </w:r>
          </w:p>
        </w:tc>
        <w:tc>
          <w:tcPr>
            <w:tcW w:w="3029" w:type="dxa"/>
          </w:tcPr>
          <w:p w14:paraId="6B84D513" w14:textId="21E7187C" w:rsidR="0089143F" w:rsidRPr="00171B46" w:rsidRDefault="0089143F" w:rsidP="008720BC">
            <w:pPr>
              <w:spacing w:before="0" w:line="276" w:lineRule="auto"/>
              <w:rPr>
                <w:b w:val="0"/>
                <w:bCs/>
                <w:color w:val="000000" w:themeColor="text1"/>
                <w:szCs w:val="20"/>
              </w:rPr>
            </w:pPr>
            <w:r>
              <w:rPr>
                <w:color w:val="000000" w:themeColor="text1"/>
                <w:szCs w:val="20"/>
              </w:rPr>
              <w:t>%EAL</w:t>
            </w:r>
            <w:r w:rsidR="00724C47">
              <w:rPr>
                <w:color w:val="000000" w:themeColor="text1"/>
                <w:szCs w:val="20"/>
              </w:rPr>
              <w:t>:</w:t>
            </w:r>
          </w:p>
        </w:tc>
      </w:tr>
      <w:tr w:rsidR="0089143F" w:rsidRPr="00171B46" w14:paraId="2375C125" w14:textId="77777777" w:rsidTr="0089143F">
        <w:trPr>
          <w:trHeight w:val="590"/>
          <w:jc w:val="center"/>
        </w:trPr>
        <w:tc>
          <w:tcPr>
            <w:tcW w:w="4673" w:type="dxa"/>
            <w:gridSpan w:val="2"/>
          </w:tcPr>
          <w:p w14:paraId="2C042C7B" w14:textId="2142250B" w:rsidR="0089143F" w:rsidRPr="00171B46" w:rsidRDefault="0089143F" w:rsidP="00835FA8">
            <w:pPr>
              <w:spacing w:before="0" w:line="276" w:lineRule="auto"/>
              <w:rPr>
                <w:rFonts w:cs="Arial"/>
                <w:color w:val="000000" w:themeColor="text1"/>
                <w:szCs w:val="20"/>
              </w:rPr>
            </w:pPr>
            <w:r>
              <w:rPr>
                <w:rFonts w:cs="Arial"/>
                <w:color w:val="000000" w:themeColor="text1"/>
                <w:szCs w:val="20"/>
              </w:rPr>
              <w:t>Name of H</w:t>
            </w:r>
            <w:r w:rsidRPr="00171B46">
              <w:rPr>
                <w:rFonts w:cs="Arial"/>
                <w:color w:val="000000" w:themeColor="text1"/>
                <w:szCs w:val="20"/>
              </w:rPr>
              <w:t>eadteacher</w:t>
            </w:r>
            <w:r>
              <w:rPr>
                <w:rFonts w:cs="Arial"/>
                <w:color w:val="000000" w:themeColor="text1"/>
                <w:szCs w:val="20"/>
              </w:rPr>
              <w:t>:</w:t>
            </w:r>
          </w:p>
        </w:tc>
        <w:tc>
          <w:tcPr>
            <w:tcW w:w="4414" w:type="dxa"/>
            <w:gridSpan w:val="2"/>
          </w:tcPr>
          <w:p w14:paraId="10302E88" w14:textId="38340FC2" w:rsidR="0089143F" w:rsidRPr="00171B46" w:rsidRDefault="0089143F" w:rsidP="00835FA8">
            <w:pPr>
              <w:spacing w:before="0" w:line="276" w:lineRule="auto"/>
              <w:rPr>
                <w:rFonts w:cs="Arial"/>
                <w:color w:val="000000" w:themeColor="text1"/>
                <w:szCs w:val="20"/>
              </w:rPr>
            </w:pPr>
            <w:r w:rsidRPr="00171B46">
              <w:rPr>
                <w:rFonts w:cs="Arial"/>
                <w:color w:val="000000" w:themeColor="text1"/>
                <w:szCs w:val="20"/>
              </w:rPr>
              <w:t>Email</w:t>
            </w:r>
            <w:r>
              <w:rPr>
                <w:rFonts w:cs="Arial"/>
                <w:color w:val="000000" w:themeColor="text1"/>
                <w:szCs w:val="20"/>
              </w:rPr>
              <w:t>:</w:t>
            </w: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73350291" w14:textId="77777777" w:rsidR="002F44DA" w:rsidRDefault="002F44DA" w:rsidP="003F72C3">
      <w:pPr>
        <w:spacing w:before="0" w:line="276" w:lineRule="auto"/>
        <w:rPr>
          <w:rFonts w:eastAsia="Calibri"/>
          <w:b/>
          <w:bCs w:val="0"/>
          <w:color w:val="808080" w:themeColor="background1" w:themeShade="80"/>
          <w:szCs w:val="20"/>
          <w:lang w:val="en-US" w:eastAsia="en-US"/>
        </w:rPr>
      </w:pPr>
    </w:p>
    <w:p w14:paraId="58F4533B" w14:textId="59AD66E5" w:rsidR="008720BC" w:rsidRPr="00171B46" w:rsidRDefault="00E809F7" w:rsidP="003F72C3">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Details of lead teacher </w:t>
      </w:r>
      <w:r w:rsidR="002E52D6" w:rsidRPr="00171B46">
        <w:rPr>
          <w:rFonts w:eastAsia="Calibri"/>
          <w:b/>
          <w:bCs w:val="0"/>
          <w:color w:val="000000" w:themeColor="text1"/>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171B46" w:rsidRPr="00171B46" w14:paraId="2D8B3600" w14:textId="77777777" w:rsidTr="00D85B4A">
        <w:trPr>
          <w:jc w:val="center"/>
        </w:trPr>
        <w:tc>
          <w:tcPr>
            <w:tcW w:w="3397" w:type="dxa"/>
          </w:tcPr>
          <w:p w14:paraId="3029E89C" w14:textId="77777777" w:rsidR="008720BC" w:rsidRPr="00171B46" w:rsidRDefault="008720BC" w:rsidP="008720BC">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52CD6AE8" w14:textId="2F63E62F" w:rsidR="008720BC" w:rsidRPr="00171B46" w:rsidRDefault="008720BC" w:rsidP="008720BC">
            <w:pPr>
              <w:spacing w:before="0" w:line="276" w:lineRule="auto"/>
              <w:rPr>
                <w:rFonts w:cs="Arial"/>
                <w:color w:val="000000" w:themeColor="text1"/>
                <w:szCs w:val="20"/>
              </w:rPr>
            </w:pPr>
          </w:p>
        </w:tc>
      </w:tr>
      <w:tr w:rsidR="00171B46" w:rsidRPr="00171B46" w14:paraId="1B958F6A" w14:textId="77777777" w:rsidTr="00D85B4A">
        <w:trPr>
          <w:jc w:val="center"/>
        </w:trPr>
        <w:tc>
          <w:tcPr>
            <w:tcW w:w="3397" w:type="dxa"/>
          </w:tcPr>
          <w:p w14:paraId="50A3712B" w14:textId="77777777" w:rsidR="008720BC" w:rsidRPr="00171B46" w:rsidRDefault="008720BC" w:rsidP="008720BC">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2939704A" w14:textId="26825744" w:rsidR="008720BC" w:rsidRPr="00171B46" w:rsidRDefault="008720BC" w:rsidP="002F44DA">
            <w:pPr>
              <w:spacing w:before="0" w:line="276" w:lineRule="auto"/>
              <w:rPr>
                <w:rFonts w:cs="Arial"/>
                <w:color w:val="000000" w:themeColor="text1"/>
                <w:szCs w:val="20"/>
              </w:rPr>
            </w:pPr>
          </w:p>
        </w:tc>
      </w:tr>
      <w:tr w:rsidR="00171B46" w:rsidRPr="00171B46" w14:paraId="3AB2F065" w14:textId="77777777" w:rsidTr="00D85B4A">
        <w:trPr>
          <w:jc w:val="center"/>
        </w:trPr>
        <w:tc>
          <w:tcPr>
            <w:tcW w:w="3397" w:type="dxa"/>
          </w:tcPr>
          <w:p w14:paraId="29A49E92" w14:textId="06EFE128" w:rsidR="008720BC" w:rsidRPr="00171B46" w:rsidRDefault="00E12FD8" w:rsidP="008720BC">
            <w:pPr>
              <w:spacing w:before="0" w:line="276" w:lineRule="auto"/>
              <w:rPr>
                <w:rFonts w:cs="Arial"/>
                <w:color w:val="000000" w:themeColor="text1"/>
                <w:szCs w:val="20"/>
              </w:rPr>
            </w:pPr>
            <w:r w:rsidRPr="00171B46">
              <w:rPr>
                <w:rFonts w:cs="Arial"/>
                <w:color w:val="000000" w:themeColor="text1"/>
                <w:szCs w:val="20"/>
              </w:rPr>
              <w:t>Teacher reference number (TRN</w:t>
            </w:r>
            <w:r w:rsidR="00311F26" w:rsidRPr="00171B46">
              <w:rPr>
                <w:rFonts w:cs="Arial"/>
                <w:color w:val="000000" w:themeColor="text1"/>
                <w:szCs w:val="20"/>
              </w:rPr>
              <w:t xml:space="preserve"> </w:t>
            </w:r>
            <w:r w:rsidR="00311F26" w:rsidRPr="00171B46">
              <w:rPr>
                <w:rFonts w:cs="Arial"/>
                <w:color w:val="000000" w:themeColor="text1"/>
                <w:sz w:val="16"/>
                <w:szCs w:val="16"/>
              </w:rPr>
              <w:t xml:space="preserve">– </w:t>
            </w:r>
            <w:r w:rsidR="00D90EB2" w:rsidRPr="00171B46">
              <w:rPr>
                <w:rFonts w:cs="Arial"/>
                <w:color w:val="000000" w:themeColor="text1"/>
                <w:sz w:val="16"/>
                <w:szCs w:val="16"/>
              </w:rPr>
              <w:t xml:space="preserve">details of how to find this are </w:t>
            </w:r>
            <w:hyperlink r:id="rId13" w:history="1">
              <w:r w:rsidR="00D90EB2"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2B641CD5" w14:textId="715A9C66" w:rsidR="008720BC" w:rsidRPr="00171B46" w:rsidRDefault="008720BC" w:rsidP="008720BC">
            <w:pPr>
              <w:spacing w:before="0" w:line="276" w:lineRule="auto"/>
              <w:rPr>
                <w:rFonts w:cs="Arial"/>
                <w:b w:val="0"/>
                <w:color w:val="000000" w:themeColor="text1"/>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171B46" w:rsidRDefault="00210B0F" w:rsidP="003F72C3">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Details of lead teacher </w:t>
      </w:r>
      <w:r w:rsidR="00D85B4A" w:rsidRPr="00171B46">
        <w:rPr>
          <w:rFonts w:eastAsia="Calibri"/>
          <w:b/>
          <w:bCs w:val="0"/>
          <w:color w:val="000000" w:themeColor="text1"/>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171B46" w:rsidRPr="00171B46" w14:paraId="02FD1A83" w14:textId="77777777" w:rsidTr="00D85B4A">
        <w:trPr>
          <w:jc w:val="center"/>
        </w:trPr>
        <w:tc>
          <w:tcPr>
            <w:tcW w:w="3397" w:type="dxa"/>
          </w:tcPr>
          <w:p w14:paraId="372ABD24" w14:textId="77777777" w:rsidR="00210B0F" w:rsidRPr="00171B46" w:rsidRDefault="00210B0F" w:rsidP="0089143F">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7DA6CC6B" w14:textId="4179D694" w:rsidR="00210B0F" w:rsidRPr="00171B46" w:rsidRDefault="00210B0F" w:rsidP="0089143F">
            <w:pPr>
              <w:spacing w:before="0" w:line="276" w:lineRule="auto"/>
              <w:rPr>
                <w:rFonts w:cs="Arial"/>
                <w:color w:val="000000" w:themeColor="text1"/>
                <w:szCs w:val="20"/>
              </w:rPr>
            </w:pPr>
          </w:p>
        </w:tc>
      </w:tr>
      <w:tr w:rsidR="00171B46" w:rsidRPr="00171B46" w14:paraId="28438B2B" w14:textId="77777777" w:rsidTr="00D85B4A">
        <w:trPr>
          <w:jc w:val="center"/>
        </w:trPr>
        <w:tc>
          <w:tcPr>
            <w:tcW w:w="3397" w:type="dxa"/>
          </w:tcPr>
          <w:p w14:paraId="42EECDF6" w14:textId="77777777" w:rsidR="00210B0F" w:rsidRPr="00171B46" w:rsidRDefault="00210B0F" w:rsidP="0089143F">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5E601CF3" w14:textId="7A29BF4F" w:rsidR="00210B0F" w:rsidRPr="00171B46" w:rsidRDefault="00210B0F" w:rsidP="002F44DA">
            <w:pPr>
              <w:spacing w:before="0" w:line="276" w:lineRule="auto"/>
              <w:rPr>
                <w:rFonts w:cs="Arial"/>
                <w:color w:val="000000" w:themeColor="text1"/>
                <w:szCs w:val="20"/>
              </w:rPr>
            </w:pPr>
          </w:p>
        </w:tc>
      </w:tr>
      <w:tr w:rsidR="00171B46" w:rsidRPr="00171B46" w14:paraId="466CF562" w14:textId="77777777" w:rsidTr="00D85B4A">
        <w:trPr>
          <w:jc w:val="center"/>
        </w:trPr>
        <w:tc>
          <w:tcPr>
            <w:tcW w:w="3397" w:type="dxa"/>
          </w:tcPr>
          <w:p w14:paraId="423EB1E2" w14:textId="4FE100F0" w:rsidR="00311F26" w:rsidRPr="00171B46" w:rsidRDefault="00D90EB2" w:rsidP="00311F26">
            <w:pPr>
              <w:spacing w:before="0" w:line="276" w:lineRule="auto"/>
              <w:rPr>
                <w:rFonts w:cs="Arial"/>
                <w:color w:val="000000" w:themeColor="text1"/>
                <w:szCs w:val="20"/>
              </w:rPr>
            </w:pPr>
            <w:r w:rsidRPr="00171B46">
              <w:rPr>
                <w:rFonts w:cs="Arial"/>
                <w:color w:val="000000" w:themeColor="text1"/>
                <w:szCs w:val="20"/>
              </w:rPr>
              <w:t xml:space="preserve">Teacher reference number (TRN </w:t>
            </w:r>
            <w:r w:rsidRPr="00171B46">
              <w:rPr>
                <w:rFonts w:cs="Arial"/>
                <w:color w:val="000000" w:themeColor="text1"/>
                <w:sz w:val="16"/>
                <w:szCs w:val="16"/>
              </w:rPr>
              <w:t xml:space="preserve">– details of how to find this are </w:t>
            </w:r>
            <w:hyperlink r:id="rId14" w:history="1">
              <w:r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7A3B0CF4" w14:textId="73C4330E" w:rsidR="0051016C" w:rsidRPr="00171B46" w:rsidRDefault="0051016C" w:rsidP="00311F26">
            <w:pPr>
              <w:spacing w:before="0" w:line="276" w:lineRule="auto"/>
              <w:rPr>
                <w:rFonts w:cs="Arial"/>
                <w:color w:val="000000" w:themeColor="text1"/>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171B46" w:rsidRDefault="00D85B4A" w:rsidP="00D85B4A">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171B46" w:rsidRPr="00171B46" w14:paraId="02DE2325" w14:textId="77777777" w:rsidTr="00D85B4A">
        <w:trPr>
          <w:jc w:val="center"/>
        </w:trPr>
        <w:tc>
          <w:tcPr>
            <w:tcW w:w="3397" w:type="dxa"/>
          </w:tcPr>
          <w:p w14:paraId="44AFBD6F" w14:textId="77777777" w:rsidR="00D85B4A" w:rsidRPr="00171B46" w:rsidRDefault="00D85B4A" w:rsidP="0089143F">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250318E1" w14:textId="28C11B46" w:rsidR="00D85B4A" w:rsidRPr="00171B46" w:rsidRDefault="00D85B4A" w:rsidP="0089143F">
            <w:pPr>
              <w:spacing w:before="0" w:line="276" w:lineRule="auto"/>
              <w:rPr>
                <w:rFonts w:cs="Arial"/>
                <w:color w:val="000000" w:themeColor="text1"/>
                <w:szCs w:val="20"/>
              </w:rPr>
            </w:pPr>
          </w:p>
        </w:tc>
      </w:tr>
      <w:tr w:rsidR="00171B46" w:rsidRPr="00171B46" w14:paraId="070FAA7A" w14:textId="77777777" w:rsidTr="00D85B4A">
        <w:trPr>
          <w:jc w:val="center"/>
        </w:trPr>
        <w:tc>
          <w:tcPr>
            <w:tcW w:w="3397" w:type="dxa"/>
          </w:tcPr>
          <w:p w14:paraId="1EF6E6C9" w14:textId="77777777" w:rsidR="00D85B4A" w:rsidRPr="00171B46" w:rsidRDefault="00D85B4A" w:rsidP="0089143F">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0100642C" w14:textId="13400F7E" w:rsidR="00D85B4A" w:rsidRPr="00171B46" w:rsidRDefault="00D85B4A" w:rsidP="002F44DA">
            <w:pPr>
              <w:spacing w:before="0" w:line="276" w:lineRule="auto"/>
              <w:rPr>
                <w:rFonts w:cs="Arial"/>
                <w:color w:val="000000" w:themeColor="text1"/>
                <w:szCs w:val="20"/>
              </w:rPr>
            </w:pPr>
          </w:p>
        </w:tc>
      </w:tr>
      <w:tr w:rsidR="00171B46" w:rsidRPr="00171B46" w14:paraId="0ADCD2E7" w14:textId="77777777" w:rsidTr="00D85B4A">
        <w:trPr>
          <w:jc w:val="center"/>
        </w:trPr>
        <w:tc>
          <w:tcPr>
            <w:tcW w:w="3397" w:type="dxa"/>
          </w:tcPr>
          <w:p w14:paraId="7F0BD087" w14:textId="103F224B" w:rsidR="00311F26" w:rsidRPr="00171B46" w:rsidRDefault="00D90EB2" w:rsidP="00311F26">
            <w:pPr>
              <w:spacing w:before="0" w:line="276" w:lineRule="auto"/>
              <w:rPr>
                <w:rFonts w:cs="Arial"/>
                <w:color w:val="000000" w:themeColor="text1"/>
                <w:szCs w:val="20"/>
              </w:rPr>
            </w:pPr>
            <w:r w:rsidRPr="00171B46">
              <w:rPr>
                <w:rFonts w:cs="Arial"/>
                <w:color w:val="000000" w:themeColor="text1"/>
                <w:szCs w:val="20"/>
              </w:rPr>
              <w:t xml:space="preserve">Teacher reference number (TRN </w:t>
            </w:r>
            <w:r w:rsidRPr="00171B46">
              <w:rPr>
                <w:rFonts w:cs="Arial"/>
                <w:color w:val="000000" w:themeColor="text1"/>
                <w:sz w:val="16"/>
                <w:szCs w:val="16"/>
              </w:rPr>
              <w:t xml:space="preserve">– details of how to find this are </w:t>
            </w:r>
            <w:hyperlink r:id="rId15" w:history="1">
              <w:r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034BB7F5" w14:textId="1B9F1E0E" w:rsidR="00311F26" w:rsidRPr="00171B46" w:rsidRDefault="00311F26" w:rsidP="00311F26">
            <w:pPr>
              <w:spacing w:before="0" w:line="276" w:lineRule="auto"/>
              <w:rPr>
                <w:rFonts w:cs="Arial"/>
                <w:b w:val="0"/>
                <w:color w:val="000000" w:themeColor="text1"/>
                <w:szCs w:val="20"/>
              </w:rPr>
            </w:pPr>
          </w:p>
        </w:tc>
      </w:tr>
    </w:tbl>
    <w:p w14:paraId="41F68CDC" w14:textId="77777777" w:rsidR="00C41B57" w:rsidRDefault="00C41B57" w:rsidP="008A64D5">
      <w:pPr>
        <w:spacing w:before="0" w:line="276" w:lineRule="auto"/>
        <w:rPr>
          <w:rFonts w:eastAsia="Calibri"/>
          <w:b/>
          <w:bCs w:val="0"/>
          <w:color w:val="000000" w:themeColor="text1"/>
          <w:szCs w:val="20"/>
          <w:lang w:val="en-US" w:eastAsia="en-US"/>
        </w:rPr>
      </w:pPr>
    </w:p>
    <w:p w14:paraId="401C3F70" w14:textId="40F995D9" w:rsidR="008A64D5" w:rsidRDefault="008A64D5" w:rsidP="008A64D5">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Details of </w:t>
      </w:r>
      <w:r>
        <w:rPr>
          <w:rFonts w:eastAsia="Calibri"/>
          <w:b/>
          <w:bCs w:val="0"/>
          <w:color w:val="000000" w:themeColor="text1"/>
          <w:szCs w:val="20"/>
          <w:lang w:val="en-US" w:eastAsia="en-US"/>
        </w:rPr>
        <w:t>Subject Lead</w:t>
      </w:r>
    </w:p>
    <w:tbl>
      <w:tblPr>
        <w:tblStyle w:val="TableGrid1"/>
        <w:tblW w:w="0" w:type="auto"/>
        <w:jc w:val="center"/>
        <w:tblLook w:val="04A0" w:firstRow="1" w:lastRow="0" w:firstColumn="1" w:lastColumn="0" w:noHBand="0" w:noVBand="1"/>
      </w:tblPr>
      <w:tblGrid>
        <w:gridCol w:w="3397"/>
        <w:gridCol w:w="5511"/>
      </w:tblGrid>
      <w:tr w:rsidR="008A64D5" w:rsidRPr="00171B46" w14:paraId="760CFDFD" w14:textId="77777777" w:rsidTr="0089143F">
        <w:trPr>
          <w:jc w:val="center"/>
        </w:trPr>
        <w:tc>
          <w:tcPr>
            <w:tcW w:w="3397" w:type="dxa"/>
          </w:tcPr>
          <w:p w14:paraId="16BA8648" w14:textId="77777777" w:rsidR="008A64D5" w:rsidRPr="00171B46" w:rsidRDefault="008A64D5" w:rsidP="0089143F">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0CBE27E4" w14:textId="77777777" w:rsidR="008A64D5" w:rsidRPr="00171B46" w:rsidRDefault="008A64D5" w:rsidP="0089143F">
            <w:pPr>
              <w:spacing w:before="0" w:line="276" w:lineRule="auto"/>
              <w:rPr>
                <w:rFonts w:cs="Arial"/>
                <w:color w:val="000000" w:themeColor="text1"/>
                <w:szCs w:val="20"/>
              </w:rPr>
            </w:pPr>
          </w:p>
        </w:tc>
      </w:tr>
      <w:tr w:rsidR="008A64D5" w:rsidRPr="00171B46" w14:paraId="34FCEB74" w14:textId="77777777" w:rsidTr="0089143F">
        <w:trPr>
          <w:jc w:val="center"/>
        </w:trPr>
        <w:tc>
          <w:tcPr>
            <w:tcW w:w="3397" w:type="dxa"/>
          </w:tcPr>
          <w:p w14:paraId="6B78BA89" w14:textId="77777777" w:rsidR="008A64D5" w:rsidRPr="00171B46" w:rsidRDefault="008A64D5" w:rsidP="0089143F">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1198FBB4" w14:textId="77777777" w:rsidR="008A64D5" w:rsidRPr="00171B46" w:rsidRDefault="008A64D5" w:rsidP="0089143F">
            <w:pPr>
              <w:spacing w:before="0" w:line="276" w:lineRule="auto"/>
              <w:rPr>
                <w:rFonts w:cs="Arial"/>
                <w:color w:val="000000" w:themeColor="text1"/>
                <w:szCs w:val="20"/>
              </w:rPr>
            </w:pPr>
          </w:p>
        </w:tc>
      </w:tr>
      <w:tr w:rsidR="008A64D5" w:rsidRPr="00171B46" w14:paraId="38DE211D" w14:textId="77777777" w:rsidTr="0089143F">
        <w:trPr>
          <w:jc w:val="center"/>
        </w:trPr>
        <w:tc>
          <w:tcPr>
            <w:tcW w:w="3397" w:type="dxa"/>
          </w:tcPr>
          <w:p w14:paraId="65E18A6B" w14:textId="77777777" w:rsidR="008A64D5" w:rsidRPr="00171B46" w:rsidRDefault="008A64D5" w:rsidP="0089143F">
            <w:pPr>
              <w:spacing w:before="0" w:line="276" w:lineRule="auto"/>
              <w:rPr>
                <w:rFonts w:cs="Arial"/>
                <w:color w:val="000000" w:themeColor="text1"/>
                <w:szCs w:val="20"/>
              </w:rPr>
            </w:pPr>
            <w:r w:rsidRPr="00171B46">
              <w:rPr>
                <w:rFonts w:cs="Arial"/>
                <w:color w:val="000000" w:themeColor="text1"/>
                <w:szCs w:val="20"/>
              </w:rPr>
              <w:t xml:space="preserve">Teacher reference number (TRN </w:t>
            </w:r>
            <w:r w:rsidRPr="00171B46">
              <w:rPr>
                <w:rFonts w:cs="Arial"/>
                <w:color w:val="000000" w:themeColor="text1"/>
                <w:sz w:val="16"/>
                <w:szCs w:val="16"/>
              </w:rPr>
              <w:t xml:space="preserve">– details of how to find this are </w:t>
            </w:r>
            <w:hyperlink r:id="rId16" w:history="1">
              <w:r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18881D70" w14:textId="77777777" w:rsidR="008A64D5" w:rsidRPr="00171B46" w:rsidRDefault="008A64D5" w:rsidP="0089143F">
            <w:pPr>
              <w:spacing w:before="0" w:line="276" w:lineRule="auto"/>
              <w:rPr>
                <w:rFonts w:cs="Arial"/>
                <w:b w:val="0"/>
                <w:color w:val="000000" w:themeColor="text1"/>
                <w:szCs w:val="20"/>
              </w:rPr>
            </w:pPr>
          </w:p>
        </w:tc>
      </w:tr>
    </w:tbl>
    <w:p w14:paraId="3F7666BA" w14:textId="3CA91DB1" w:rsidR="00D90EB2" w:rsidRDefault="00D90EB2">
      <w:pPr>
        <w:spacing w:before="0" w:line="240" w:lineRule="auto"/>
        <w:rPr>
          <w:rFonts w:eastAsia="Calibri"/>
          <w:b/>
          <w:color w:val="808080" w:themeColor="background1" w:themeShade="80"/>
          <w:szCs w:val="20"/>
          <w:lang w:eastAsia="en-US"/>
        </w:rPr>
      </w:pPr>
    </w:p>
    <w:p w14:paraId="38F40831" w14:textId="77777777" w:rsidR="00C41B57" w:rsidRDefault="00C41B57" w:rsidP="008720BC">
      <w:pPr>
        <w:spacing w:before="0" w:after="60" w:line="240" w:lineRule="auto"/>
        <w:rPr>
          <w:rFonts w:eastAsia="Calibri"/>
          <w:b/>
          <w:color w:val="000000" w:themeColor="text1"/>
          <w:szCs w:val="20"/>
          <w:lang w:eastAsia="en-US"/>
        </w:rPr>
      </w:pPr>
    </w:p>
    <w:p w14:paraId="4ACA942C" w14:textId="77777777" w:rsidR="00C41B57" w:rsidRDefault="00C41B57" w:rsidP="008720BC">
      <w:pPr>
        <w:spacing w:before="0" w:after="60" w:line="240" w:lineRule="auto"/>
        <w:rPr>
          <w:rFonts w:eastAsia="Calibri"/>
          <w:b/>
          <w:color w:val="000000" w:themeColor="text1"/>
          <w:szCs w:val="20"/>
          <w:lang w:eastAsia="en-US"/>
        </w:rPr>
      </w:pPr>
    </w:p>
    <w:p w14:paraId="07FB9556" w14:textId="77777777" w:rsidR="00C41B57" w:rsidRDefault="00C41B57" w:rsidP="008720BC">
      <w:pPr>
        <w:spacing w:before="0" w:after="60" w:line="240" w:lineRule="auto"/>
        <w:rPr>
          <w:rFonts w:eastAsia="Calibri"/>
          <w:b/>
          <w:color w:val="000000" w:themeColor="text1"/>
          <w:szCs w:val="20"/>
          <w:lang w:eastAsia="en-US"/>
        </w:rPr>
      </w:pPr>
    </w:p>
    <w:p w14:paraId="6E156A6F" w14:textId="77777777" w:rsidR="00C41B57" w:rsidRDefault="00C41B57" w:rsidP="008720BC">
      <w:pPr>
        <w:spacing w:before="0" w:after="60" w:line="240" w:lineRule="auto"/>
        <w:rPr>
          <w:rFonts w:eastAsia="Calibri"/>
          <w:b/>
          <w:color w:val="000000" w:themeColor="text1"/>
          <w:szCs w:val="20"/>
          <w:lang w:eastAsia="en-US"/>
        </w:rPr>
      </w:pPr>
    </w:p>
    <w:p w14:paraId="2C03A33F" w14:textId="77777777" w:rsidR="00C41B57" w:rsidRDefault="00C41B57" w:rsidP="008720BC">
      <w:pPr>
        <w:spacing w:before="0" w:after="60" w:line="240" w:lineRule="auto"/>
        <w:rPr>
          <w:rFonts w:eastAsia="Calibri"/>
          <w:b/>
          <w:color w:val="000000" w:themeColor="text1"/>
          <w:szCs w:val="20"/>
          <w:lang w:eastAsia="en-US"/>
        </w:rPr>
      </w:pPr>
    </w:p>
    <w:p w14:paraId="1A89C41A" w14:textId="77777777" w:rsidR="00C41B57" w:rsidRDefault="00C41B57" w:rsidP="008720BC">
      <w:pPr>
        <w:spacing w:before="0" w:after="60" w:line="240" w:lineRule="auto"/>
        <w:rPr>
          <w:rFonts w:eastAsia="Calibri"/>
          <w:b/>
          <w:color w:val="000000" w:themeColor="text1"/>
          <w:szCs w:val="20"/>
          <w:lang w:eastAsia="en-US"/>
        </w:rPr>
      </w:pPr>
    </w:p>
    <w:p w14:paraId="2F7821F7" w14:textId="77777777" w:rsidR="00C41B57" w:rsidRDefault="00C41B57" w:rsidP="008720BC">
      <w:pPr>
        <w:spacing w:before="0" w:after="60" w:line="240" w:lineRule="auto"/>
        <w:rPr>
          <w:rFonts w:eastAsia="Calibri"/>
          <w:b/>
          <w:color w:val="000000" w:themeColor="text1"/>
          <w:szCs w:val="20"/>
          <w:lang w:eastAsia="en-US"/>
        </w:rPr>
      </w:pPr>
    </w:p>
    <w:p w14:paraId="78947B02" w14:textId="77777777" w:rsidR="00C41B57" w:rsidRDefault="00C41B57" w:rsidP="008720BC">
      <w:pPr>
        <w:spacing w:before="0" w:after="60" w:line="240" w:lineRule="auto"/>
        <w:rPr>
          <w:rFonts w:eastAsia="Calibri"/>
          <w:b/>
          <w:color w:val="000000" w:themeColor="text1"/>
          <w:szCs w:val="20"/>
          <w:lang w:eastAsia="en-US"/>
        </w:rPr>
      </w:pPr>
    </w:p>
    <w:p w14:paraId="784C0FA8" w14:textId="77777777" w:rsidR="00C41B57" w:rsidRDefault="00C41B57" w:rsidP="008720BC">
      <w:pPr>
        <w:spacing w:before="0" w:after="60" w:line="240" w:lineRule="auto"/>
        <w:rPr>
          <w:rFonts w:eastAsia="Calibri"/>
          <w:b/>
          <w:color w:val="000000" w:themeColor="text1"/>
          <w:szCs w:val="20"/>
          <w:lang w:eastAsia="en-US"/>
        </w:rPr>
      </w:pPr>
    </w:p>
    <w:p w14:paraId="6CFD0018" w14:textId="77777777" w:rsidR="00C41B57" w:rsidRDefault="00C41B57" w:rsidP="008720BC">
      <w:pPr>
        <w:spacing w:before="0" w:after="60" w:line="240" w:lineRule="auto"/>
        <w:rPr>
          <w:rFonts w:eastAsia="Calibri"/>
          <w:b/>
          <w:color w:val="000000" w:themeColor="text1"/>
          <w:szCs w:val="20"/>
          <w:lang w:eastAsia="en-US"/>
        </w:rPr>
      </w:pPr>
    </w:p>
    <w:p w14:paraId="0A5D93AE" w14:textId="77777777" w:rsidR="00C41B57" w:rsidRDefault="00C41B57" w:rsidP="008720BC">
      <w:pPr>
        <w:spacing w:before="0" w:after="60" w:line="240" w:lineRule="auto"/>
        <w:rPr>
          <w:rFonts w:eastAsia="Calibri"/>
          <w:b/>
          <w:color w:val="000000" w:themeColor="text1"/>
          <w:szCs w:val="20"/>
          <w:lang w:eastAsia="en-US"/>
        </w:rPr>
      </w:pPr>
    </w:p>
    <w:p w14:paraId="5065406B" w14:textId="2A86A466" w:rsidR="008720BC" w:rsidRDefault="00857F22" w:rsidP="008720BC">
      <w:pPr>
        <w:spacing w:before="0" w:after="60" w:line="240" w:lineRule="auto"/>
        <w:rPr>
          <w:rFonts w:eastAsia="Calibri"/>
          <w:b/>
          <w:color w:val="000000" w:themeColor="text1"/>
          <w:szCs w:val="20"/>
          <w:lang w:eastAsia="en-US"/>
        </w:rPr>
      </w:pPr>
      <w:r w:rsidRPr="00171B46">
        <w:rPr>
          <w:rFonts w:eastAsia="Calibri"/>
          <w:b/>
          <w:color w:val="000000" w:themeColor="text1"/>
          <w:szCs w:val="20"/>
          <w:lang w:eastAsia="en-US"/>
        </w:rPr>
        <w:t>Headteacher statement</w:t>
      </w:r>
    </w:p>
    <w:p w14:paraId="59F65C01" w14:textId="77777777" w:rsidR="000E14F6" w:rsidRPr="00171B46" w:rsidRDefault="000E14F6" w:rsidP="008720BC">
      <w:pPr>
        <w:spacing w:before="0" w:after="60" w:line="240" w:lineRule="auto"/>
        <w:rPr>
          <w:rFonts w:eastAsia="Calibri"/>
          <w:b/>
          <w:i/>
          <w:iCs/>
          <w:color w:val="000000" w:themeColor="text1"/>
          <w:szCs w:val="20"/>
          <w:lang w:eastAsia="en-US"/>
        </w:rPr>
      </w:pPr>
    </w:p>
    <w:tbl>
      <w:tblPr>
        <w:tblStyle w:val="TableGrid1"/>
        <w:tblW w:w="0" w:type="auto"/>
        <w:jc w:val="center"/>
        <w:tblLook w:val="04A0" w:firstRow="1" w:lastRow="0" w:firstColumn="1" w:lastColumn="0" w:noHBand="0" w:noVBand="1"/>
      </w:tblPr>
      <w:tblGrid>
        <w:gridCol w:w="8980"/>
      </w:tblGrid>
      <w:tr w:rsidR="00171B46" w:rsidRPr="00171B46" w14:paraId="43C7EBC2" w14:textId="77777777" w:rsidTr="0089143F">
        <w:trPr>
          <w:trHeight w:val="489"/>
          <w:jc w:val="center"/>
        </w:trPr>
        <w:tc>
          <w:tcPr>
            <w:tcW w:w="8980" w:type="dxa"/>
          </w:tcPr>
          <w:p w14:paraId="5E8F8AAD" w14:textId="25861499" w:rsidR="00116318" w:rsidRPr="00171B46" w:rsidRDefault="00367641" w:rsidP="00116318">
            <w:pPr>
              <w:spacing w:before="0" w:line="240" w:lineRule="auto"/>
              <w:rPr>
                <w:rFonts w:cs="Arial"/>
                <w:color w:val="000000" w:themeColor="text1"/>
                <w:szCs w:val="20"/>
              </w:rPr>
            </w:pPr>
            <w:r w:rsidRPr="00171B46">
              <w:rPr>
                <w:rFonts w:cs="Arial"/>
                <w:color w:val="000000" w:themeColor="text1"/>
                <w:szCs w:val="20"/>
              </w:rPr>
              <w:t>Please give details of why you wish the school to participate in the Work Group including any contextual information which may mean that pupils in Reception, Year 1 and Year 2 would benefit from the Mastering Number programme</w:t>
            </w:r>
            <w:r w:rsidR="0037694B" w:rsidRPr="00171B46">
              <w:rPr>
                <w:rFonts w:cs="Arial"/>
                <w:color w:val="000000" w:themeColor="text1"/>
                <w:szCs w:val="20"/>
              </w:rPr>
              <w:t>. You may wish to comment on how your children have been affected through the coronavirus pandemic, and priorities for maths in your school</w:t>
            </w:r>
            <w:r w:rsidRPr="00171B46">
              <w:rPr>
                <w:rFonts w:cs="Arial"/>
                <w:color w:val="000000" w:themeColor="text1"/>
                <w:szCs w:val="20"/>
              </w:rPr>
              <w:t xml:space="preserve"> (up to 250 words)</w:t>
            </w:r>
            <w:r w:rsidR="0037694B" w:rsidRPr="00171B46">
              <w:rPr>
                <w:rFonts w:cs="Arial"/>
                <w:color w:val="000000" w:themeColor="text1"/>
                <w:szCs w:val="20"/>
              </w:rPr>
              <w:t>.</w:t>
            </w:r>
          </w:p>
        </w:tc>
      </w:tr>
      <w:tr w:rsidR="00116318" w:rsidRPr="008720BC" w14:paraId="6B214243" w14:textId="77777777" w:rsidTr="0089143F">
        <w:trPr>
          <w:trHeight w:val="489"/>
          <w:jc w:val="center"/>
        </w:trPr>
        <w:tc>
          <w:tcPr>
            <w:tcW w:w="8980" w:type="dxa"/>
          </w:tcPr>
          <w:p w14:paraId="67930D8E" w14:textId="77777777" w:rsidR="00116318" w:rsidRDefault="00116318" w:rsidP="002F44DA">
            <w:pPr>
              <w:spacing w:before="0" w:line="240" w:lineRule="auto"/>
              <w:jc w:val="center"/>
              <w:rPr>
                <w:color w:val="808080" w:themeColor="background1" w:themeShade="80"/>
                <w:szCs w:val="20"/>
              </w:rPr>
            </w:pPr>
          </w:p>
          <w:p w14:paraId="2214C41E" w14:textId="77777777" w:rsidR="006A4171" w:rsidRDefault="006A4171" w:rsidP="002F44DA">
            <w:pPr>
              <w:spacing w:before="0" w:line="240" w:lineRule="auto"/>
              <w:jc w:val="center"/>
              <w:rPr>
                <w:color w:val="808080" w:themeColor="background1" w:themeShade="80"/>
                <w:szCs w:val="20"/>
              </w:rPr>
            </w:pPr>
          </w:p>
          <w:p w14:paraId="55996B11" w14:textId="77777777" w:rsidR="006A4171" w:rsidRDefault="006A4171" w:rsidP="002F44DA">
            <w:pPr>
              <w:spacing w:before="0" w:line="240" w:lineRule="auto"/>
              <w:jc w:val="center"/>
              <w:rPr>
                <w:color w:val="808080" w:themeColor="background1" w:themeShade="80"/>
                <w:szCs w:val="20"/>
              </w:rPr>
            </w:pPr>
          </w:p>
          <w:p w14:paraId="06B0A277" w14:textId="77777777" w:rsidR="006A4171" w:rsidRDefault="006A4171" w:rsidP="002F44DA">
            <w:pPr>
              <w:spacing w:before="0" w:line="240" w:lineRule="auto"/>
              <w:jc w:val="center"/>
              <w:rPr>
                <w:color w:val="808080" w:themeColor="background1" w:themeShade="80"/>
                <w:szCs w:val="20"/>
              </w:rPr>
            </w:pPr>
          </w:p>
          <w:p w14:paraId="052E3A9E" w14:textId="77777777" w:rsidR="006A4171" w:rsidRDefault="006A4171" w:rsidP="002F44DA">
            <w:pPr>
              <w:spacing w:before="0" w:line="240" w:lineRule="auto"/>
              <w:jc w:val="center"/>
              <w:rPr>
                <w:color w:val="808080" w:themeColor="background1" w:themeShade="80"/>
                <w:szCs w:val="20"/>
              </w:rPr>
            </w:pPr>
          </w:p>
          <w:p w14:paraId="55E54B7E" w14:textId="77777777" w:rsidR="006A4171" w:rsidRDefault="006A4171" w:rsidP="002F44DA">
            <w:pPr>
              <w:spacing w:before="0" w:line="240" w:lineRule="auto"/>
              <w:jc w:val="center"/>
              <w:rPr>
                <w:color w:val="808080" w:themeColor="background1" w:themeShade="80"/>
                <w:szCs w:val="20"/>
              </w:rPr>
            </w:pPr>
          </w:p>
          <w:p w14:paraId="5DD93C68" w14:textId="77777777" w:rsidR="006A4171" w:rsidRDefault="006A4171" w:rsidP="002F44DA">
            <w:pPr>
              <w:spacing w:before="0" w:line="240" w:lineRule="auto"/>
              <w:jc w:val="center"/>
              <w:rPr>
                <w:color w:val="808080" w:themeColor="background1" w:themeShade="80"/>
                <w:szCs w:val="20"/>
              </w:rPr>
            </w:pPr>
          </w:p>
          <w:p w14:paraId="04DCF143" w14:textId="77777777" w:rsidR="006A4171" w:rsidRDefault="006A4171" w:rsidP="002F44DA">
            <w:pPr>
              <w:spacing w:before="0" w:line="240" w:lineRule="auto"/>
              <w:jc w:val="center"/>
              <w:rPr>
                <w:color w:val="808080" w:themeColor="background1" w:themeShade="80"/>
                <w:szCs w:val="20"/>
              </w:rPr>
            </w:pPr>
          </w:p>
          <w:p w14:paraId="0F95949A" w14:textId="77777777" w:rsidR="006A4171" w:rsidRDefault="006A4171" w:rsidP="002F44DA">
            <w:pPr>
              <w:spacing w:before="0" w:line="240" w:lineRule="auto"/>
              <w:jc w:val="center"/>
              <w:rPr>
                <w:color w:val="808080" w:themeColor="background1" w:themeShade="80"/>
                <w:szCs w:val="20"/>
              </w:rPr>
            </w:pPr>
          </w:p>
          <w:p w14:paraId="7FAB5678" w14:textId="2B204220" w:rsidR="006A4171" w:rsidRPr="008720BC" w:rsidRDefault="006A4171" w:rsidP="002F44DA">
            <w:pPr>
              <w:spacing w:before="0" w:line="240" w:lineRule="auto"/>
              <w:jc w:val="center"/>
              <w:rPr>
                <w:color w:val="808080" w:themeColor="background1" w:themeShade="80"/>
                <w:szCs w:val="20"/>
              </w:rPr>
            </w:pPr>
          </w:p>
        </w:tc>
      </w:tr>
    </w:tbl>
    <w:p w14:paraId="2B603705" w14:textId="46F03F8C" w:rsidR="007F7638" w:rsidRDefault="007F7638" w:rsidP="008720BC">
      <w:pPr>
        <w:spacing w:before="0" w:line="276" w:lineRule="auto"/>
        <w:rPr>
          <w:rFonts w:eastAsia="Calibri"/>
          <w:b/>
          <w:bCs w:val="0"/>
          <w:color w:val="808080" w:themeColor="background1" w:themeShade="80"/>
          <w:szCs w:val="20"/>
          <w:lang w:val="en-US" w:eastAsia="en-US"/>
        </w:rPr>
      </w:pPr>
    </w:p>
    <w:p w14:paraId="09C2C44A" w14:textId="0FF109FA" w:rsidR="002F44DA" w:rsidRDefault="002F44DA" w:rsidP="008720BC">
      <w:pPr>
        <w:spacing w:before="0" w:line="276" w:lineRule="auto"/>
        <w:rPr>
          <w:rFonts w:eastAsia="Calibri"/>
          <w:b/>
          <w:bCs w:val="0"/>
          <w:color w:val="808080" w:themeColor="background1" w:themeShade="80"/>
          <w:szCs w:val="20"/>
          <w:lang w:val="en-US" w:eastAsia="en-US"/>
        </w:rPr>
      </w:pPr>
    </w:p>
    <w:p w14:paraId="2D186D0D" w14:textId="5340E57F" w:rsidR="002F44DA" w:rsidRDefault="002F44DA" w:rsidP="008720BC">
      <w:pPr>
        <w:spacing w:before="0" w:line="276" w:lineRule="auto"/>
        <w:rPr>
          <w:rFonts w:eastAsia="Calibri"/>
          <w:b/>
          <w:bCs w:val="0"/>
          <w:color w:val="808080" w:themeColor="background1" w:themeShade="80"/>
          <w:szCs w:val="20"/>
          <w:lang w:val="en-US" w:eastAsia="en-US"/>
        </w:rPr>
      </w:pPr>
    </w:p>
    <w:p w14:paraId="61A2A2D3" w14:textId="77777777" w:rsidR="002F44DA" w:rsidRPr="008720BC" w:rsidRDefault="002F44DA" w:rsidP="008720BC">
      <w:pPr>
        <w:spacing w:before="0" w:line="276" w:lineRule="auto"/>
        <w:rPr>
          <w:rFonts w:eastAsia="Calibri"/>
          <w:b/>
          <w:bCs w:val="0"/>
          <w:color w:val="808080" w:themeColor="background1" w:themeShade="80"/>
          <w:szCs w:val="20"/>
          <w:lang w:val="en-US" w:eastAsia="en-US"/>
        </w:rPr>
      </w:pPr>
    </w:p>
    <w:p w14:paraId="253E6B83" w14:textId="1EBB12F4" w:rsidR="007F7638" w:rsidRPr="00171B46" w:rsidRDefault="007F7638" w:rsidP="007F7638">
      <w:pPr>
        <w:spacing w:before="0" w:line="240"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Confirmation of school commitment (electronic signatures) </w:t>
      </w:r>
    </w:p>
    <w:p w14:paraId="09D2E2A6" w14:textId="77777777" w:rsidR="00504E64" w:rsidRPr="00171B46" w:rsidRDefault="00504E64" w:rsidP="007F7638">
      <w:pPr>
        <w:spacing w:before="0" w:line="240" w:lineRule="auto"/>
        <w:rPr>
          <w:rFonts w:eastAsia="Calibri"/>
          <w:b/>
          <w:bCs w:val="0"/>
          <w:color w:val="000000" w:themeColor="text1"/>
          <w:szCs w:val="20"/>
          <w:lang w:val="en-US" w:eastAsia="en-US"/>
        </w:rPr>
      </w:pPr>
    </w:p>
    <w:p w14:paraId="66AF405A" w14:textId="7FCB0843" w:rsidR="007F7638" w:rsidRDefault="007F7638" w:rsidP="007F7638">
      <w:pPr>
        <w:spacing w:before="0" w:line="240" w:lineRule="auto"/>
        <w:rPr>
          <w:rFonts w:eastAsia="Calibri"/>
          <w:color w:val="000000" w:themeColor="text1"/>
          <w:szCs w:val="20"/>
          <w:lang w:val="en-US" w:eastAsia="en-US"/>
        </w:rPr>
      </w:pPr>
      <w:r w:rsidRPr="00171B46">
        <w:rPr>
          <w:rFonts w:eastAsia="Calibri"/>
          <w:color w:val="000000" w:themeColor="text1"/>
          <w:szCs w:val="20"/>
          <w:lang w:val="en-US" w:eastAsia="en-US"/>
        </w:rPr>
        <w:t>If we are chosen to participate in the Work Group, we understand and commit to the following expectations:</w:t>
      </w:r>
    </w:p>
    <w:p w14:paraId="2B08E14F" w14:textId="77777777" w:rsidR="00B820EA" w:rsidRPr="00171B46" w:rsidRDefault="00B820EA" w:rsidP="007F7638">
      <w:pPr>
        <w:spacing w:before="0" w:line="240" w:lineRule="auto"/>
        <w:rPr>
          <w:rFonts w:eastAsia="Calibri"/>
          <w:color w:val="000000" w:themeColor="text1"/>
          <w:szCs w:val="20"/>
          <w:lang w:val="en-US" w:eastAsia="en-US"/>
        </w:rPr>
      </w:pPr>
    </w:p>
    <w:p w14:paraId="34D793C9" w14:textId="1B66CCC6" w:rsidR="00B820EA" w:rsidRPr="00834636" w:rsidRDefault="00DA613A" w:rsidP="00B820EA">
      <w:pPr>
        <w:spacing w:before="0" w:line="276" w:lineRule="auto"/>
        <w:rPr>
          <w:color w:val="262626" w:themeColor="text1" w:themeTint="D9"/>
        </w:rPr>
      </w:pPr>
      <w:r w:rsidRPr="00834636">
        <w:rPr>
          <w:rFonts w:eastAsia="Calibri"/>
          <w:color w:val="262626" w:themeColor="text1" w:themeTint="D9"/>
          <w:szCs w:val="20"/>
          <w:lang w:val="en-US" w:eastAsia="en-US"/>
        </w:rPr>
        <w:t xml:space="preserve">• </w:t>
      </w:r>
      <w:r w:rsidR="00B820EA" w:rsidRPr="00834636">
        <w:rPr>
          <w:rFonts w:eastAsia="Calibri"/>
          <w:color w:val="262626" w:themeColor="text1" w:themeTint="D9"/>
          <w:szCs w:val="20"/>
          <w:lang w:val="en-US" w:eastAsia="en-US"/>
        </w:rPr>
        <w:t xml:space="preserve">The school will introduce Mastering Number in all Reception, Year 1 and Year 2 classes. </w:t>
      </w:r>
      <w:r w:rsidR="00B820EA" w:rsidRPr="00834636">
        <w:rPr>
          <w:color w:val="262626" w:themeColor="text1" w:themeTint="D9"/>
        </w:rPr>
        <w:t xml:space="preserve">In KS1, this will be in addition to their daily maths lesson, </w:t>
      </w:r>
      <w:r w:rsidR="00B820EA" w:rsidRPr="00834636">
        <w:rPr>
          <w:rFonts w:eastAsia="Calibri"/>
          <w:color w:val="262626" w:themeColor="text1" w:themeTint="D9"/>
          <w:szCs w:val="20"/>
          <w:lang w:val="en-US" w:eastAsia="en-US"/>
        </w:rPr>
        <w:t>(which could be shortened as a result of participation in this Work Group)</w:t>
      </w:r>
      <w:r w:rsidR="00B820EA" w:rsidRPr="00834636">
        <w:rPr>
          <w:color w:val="262626" w:themeColor="text1" w:themeTint="D9"/>
        </w:rPr>
        <w:t xml:space="preserve">. In Reception, the Mastering Number materials can be used to teach the number part of the Early Years Framework, alongside enhanced provision. </w:t>
      </w:r>
    </w:p>
    <w:p w14:paraId="3D1EEA65" w14:textId="1C3C7333" w:rsidR="00DA613A" w:rsidRPr="00171B46" w:rsidRDefault="00DA613A" w:rsidP="00DA613A">
      <w:pPr>
        <w:spacing w:before="0" w:line="276" w:lineRule="auto"/>
        <w:rPr>
          <w:rFonts w:eastAsia="Calibri"/>
          <w:color w:val="000000" w:themeColor="text1"/>
          <w:szCs w:val="20"/>
          <w:lang w:val="en-US" w:eastAsia="en-US"/>
        </w:rPr>
      </w:pPr>
      <w:r w:rsidRPr="00171B46">
        <w:rPr>
          <w:rFonts w:eastAsia="Calibri"/>
          <w:color w:val="000000" w:themeColor="text1"/>
          <w:szCs w:val="20"/>
          <w:lang w:val="en-US" w:eastAsia="en-US"/>
        </w:rPr>
        <w:t>• Th</w:t>
      </w:r>
      <w:r w:rsidR="00834636">
        <w:rPr>
          <w:rFonts w:eastAsia="Calibri"/>
          <w:color w:val="000000" w:themeColor="text1"/>
          <w:szCs w:val="20"/>
          <w:lang w:val="en-US" w:eastAsia="en-US"/>
        </w:rPr>
        <w:t>e lead teachers will</w:t>
      </w:r>
      <w:r w:rsidRPr="00171B46">
        <w:rPr>
          <w:rFonts w:eastAsia="Calibri"/>
          <w:color w:val="000000" w:themeColor="text1"/>
          <w:szCs w:val="20"/>
          <w:lang w:val="en-US" w:eastAsia="en-US"/>
        </w:rPr>
        <w:t xml:space="preserve"> contribute </w:t>
      </w:r>
      <w:r w:rsidR="00B41F80" w:rsidRPr="00171B46">
        <w:rPr>
          <w:rFonts w:eastAsia="Calibri"/>
          <w:color w:val="000000" w:themeColor="text1"/>
          <w:szCs w:val="20"/>
          <w:lang w:val="en-US" w:eastAsia="en-US"/>
        </w:rPr>
        <w:t xml:space="preserve">regularly </w:t>
      </w:r>
      <w:r w:rsidRPr="00171B46">
        <w:rPr>
          <w:rFonts w:eastAsia="Calibri"/>
          <w:color w:val="000000" w:themeColor="text1"/>
          <w:szCs w:val="20"/>
          <w:lang w:val="en-US" w:eastAsia="en-US"/>
        </w:rPr>
        <w:t>to an online community led by the Work Group Lead, reflecting on the implementation and impact of the programme including two online sessions in 202</w:t>
      </w:r>
      <w:r w:rsidR="00171B46">
        <w:rPr>
          <w:rFonts w:eastAsia="Calibri"/>
          <w:color w:val="000000" w:themeColor="text1"/>
          <w:szCs w:val="20"/>
          <w:lang w:val="en-US" w:eastAsia="en-US"/>
        </w:rPr>
        <w:t>2</w:t>
      </w:r>
      <w:r w:rsidRPr="00171B46">
        <w:rPr>
          <w:rFonts w:eastAsia="Calibri"/>
          <w:color w:val="000000" w:themeColor="text1"/>
          <w:szCs w:val="20"/>
          <w:lang w:val="en-US" w:eastAsia="en-US"/>
        </w:rPr>
        <w:t>/2</w:t>
      </w:r>
      <w:r w:rsidR="00171B46">
        <w:rPr>
          <w:rFonts w:eastAsia="Calibri"/>
          <w:color w:val="000000" w:themeColor="text1"/>
          <w:szCs w:val="20"/>
          <w:lang w:val="en-US" w:eastAsia="en-US"/>
        </w:rPr>
        <w:t>3</w:t>
      </w:r>
    </w:p>
    <w:p w14:paraId="661308DE" w14:textId="561C206D" w:rsidR="00DA613A" w:rsidRPr="00171B46" w:rsidRDefault="00DA613A" w:rsidP="00DA613A">
      <w:pPr>
        <w:spacing w:before="0" w:line="276" w:lineRule="auto"/>
        <w:rPr>
          <w:rFonts w:eastAsia="Calibri"/>
          <w:color w:val="000000" w:themeColor="text1"/>
          <w:szCs w:val="20"/>
          <w:lang w:val="en-US" w:eastAsia="en-US"/>
        </w:rPr>
      </w:pPr>
      <w:r w:rsidRPr="00171B46">
        <w:rPr>
          <w:rFonts w:eastAsia="Calibri"/>
          <w:color w:val="000000" w:themeColor="text1"/>
          <w:szCs w:val="20"/>
          <w:lang w:val="en-US" w:eastAsia="en-US"/>
        </w:rPr>
        <w:t xml:space="preserve">• </w:t>
      </w:r>
      <w:r w:rsidR="0037694B" w:rsidRPr="00171B46">
        <w:rPr>
          <w:rFonts w:eastAsia="Calibri"/>
          <w:color w:val="000000" w:themeColor="text1"/>
          <w:szCs w:val="20"/>
          <w:lang w:val="en-US" w:eastAsia="en-US"/>
        </w:rPr>
        <w:t>Participants in the project</w:t>
      </w:r>
      <w:r w:rsidRPr="00171B46">
        <w:rPr>
          <w:rFonts w:eastAsia="Calibri"/>
          <w:color w:val="000000" w:themeColor="text1"/>
          <w:szCs w:val="20"/>
          <w:lang w:val="en-US" w:eastAsia="en-US"/>
        </w:rPr>
        <w:t xml:space="preserve"> will engage in</w:t>
      </w:r>
      <w:r w:rsidR="0037694B" w:rsidRPr="00171B46">
        <w:rPr>
          <w:rStyle w:val="CommentReference"/>
          <w:rFonts w:ascii="Times New Roman" w:hAnsi="Times New Roman"/>
          <w:color w:val="000000" w:themeColor="text1"/>
        </w:rPr>
        <w:t xml:space="preserve"> </w:t>
      </w:r>
      <w:r w:rsidR="0037694B" w:rsidRPr="00171B46">
        <w:rPr>
          <w:rFonts w:eastAsia="Calibri"/>
          <w:color w:val="000000" w:themeColor="text1"/>
          <w:szCs w:val="20"/>
          <w:lang w:val="en-US" w:eastAsia="en-US"/>
        </w:rPr>
        <w:t>online</w:t>
      </w:r>
      <w:r w:rsidRPr="00171B46">
        <w:rPr>
          <w:rFonts w:eastAsia="Calibri"/>
          <w:color w:val="000000" w:themeColor="text1"/>
          <w:szCs w:val="20"/>
          <w:lang w:val="en-US" w:eastAsia="en-US"/>
        </w:rPr>
        <w:t xml:space="preserve"> synchronous and asynchronous prof</w:t>
      </w:r>
      <w:r w:rsidR="007B360C">
        <w:rPr>
          <w:rFonts w:eastAsia="Calibri"/>
          <w:color w:val="000000" w:themeColor="text1"/>
          <w:szCs w:val="20"/>
          <w:lang w:val="en-US" w:eastAsia="en-US"/>
        </w:rPr>
        <w:t>essional development including six</w:t>
      </w:r>
      <w:r w:rsidRPr="00171B46">
        <w:rPr>
          <w:rFonts w:eastAsia="Calibri"/>
          <w:color w:val="000000" w:themeColor="text1"/>
          <w:szCs w:val="20"/>
          <w:lang w:val="en-US" w:eastAsia="en-US"/>
        </w:rPr>
        <w:t xml:space="preserve"> live sessions throughout the academic year</w:t>
      </w:r>
      <w:r w:rsidR="00834636">
        <w:rPr>
          <w:rFonts w:eastAsia="Calibri"/>
          <w:color w:val="000000" w:themeColor="text1"/>
          <w:szCs w:val="20"/>
          <w:lang w:val="en-US" w:eastAsia="en-US"/>
        </w:rPr>
        <w:t>.</w:t>
      </w:r>
    </w:p>
    <w:p w14:paraId="57CDA894" w14:textId="41161546" w:rsidR="008720BC" w:rsidRPr="00171B46" w:rsidRDefault="00DA613A" w:rsidP="00DA613A">
      <w:pPr>
        <w:spacing w:before="0" w:line="276" w:lineRule="auto"/>
        <w:rPr>
          <w:rFonts w:eastAsia="Calibri"/>
          <w:bCs w:val="0"/>
          <w:color w:val="000000" w:themeColor="text1"/>
          <w:szCs w:val="20"/>
          <w:lang w:val="en-US" w:eastAsia="en-US"/>
        </w:rPr>
      </w:pPr>
      <w:r w:rsidRPr="00171B46">
        <w:rPr>
          <w:rFonts w:eastAsia="Calibri"/>
          <w:color w:val="000000" w:themeColor="text1"/>
          <w:szCs w:val="20"/>
          <w:lang w:val="en-US" w:eastAsia="en-US"/>
        </w:rPr>
        <w:t xml:space="preserve">• </w:t>
      </w:r>
      <w:bookmarkStart w:id="1" w:name="_Hlk71873723"/>
      <w:r w:rsidRPr="00171B46">
        <w:rPr>
          <w:rFonts w:eastAsia="Calibri"/>
          <w:color w:val="000000" w:themeColor="text1"/>
          <w:szCs w:val="20"/>
          <w:lang w:val="en-US" w:eastAsia="en-US"/>
        </w:rPr>
        <w:t xml:space="preserve">The school will provide any </w:t>
      </w:r>
      <w:r w:rsidR="0037694B" w:rsidRPr="00171B46">
        <w:rPr>
          <w:rFonts w:eastAsia="Calibri"/>
          <w:color w:val="000000" w:themeColor="text1"/>
          <w:szCs w:val="20"/>
          <w:lang w:val="en-US" w:eastAsia="en-US"/>
        </w:rPr>
        <w:t xml:space="preserve">feedback </w:t>
      </w:r>
      <w:r w:rsidRPr="00171B46">
        <w:rPr>
          <w:rFonts w:eastAsia="Calibri"/>
          <w:color w:val="000000" w:themeColor="text1"/>
          <w:szCs w:val="20"/>
          <w:lang w:val="en-US" w:eastAsia="en-US"/>
        </w:rPr>
        <w:t>required by the Maths Hub and participate in any evaluation processes required.</w:t>
      </w:r>
      <w:bookmarkEnd w:id="1"/>
    </w:p>
    <w:p w14:paraId="569B6FAB" w14:textId="77777777" w:rsidR="008720BC" w:rsidRPr="00171B46"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155"/>
        <w:gridCol w:w="6747"/>
      </w:tblGrid>
      <w:tr w:rsidR="00171B46" w:rsidRPr="00171B46" w14:paraId="238DF19B" w14:textId="77777777" w:rsidTr="00834636">
        <w:tc>
          <w:tcPr>
            <w:tcW w:w="2155" w:type="dxa"/>
            <w:vAlign w:val="center"/>
          </w:tcPr>
          <w:p w14:paraId="2417D2BB" w14:textId="40BA2537" w:rsidR="008720BC" w:rsidRPr="00171B46" w:rsidRDefault="008720BC" w:rsidP="008720BC">
            <w:pPr>
              <w:spacing w:before="60" w:after="60" w:line="276" w:lineRule="auto"/>
              <w:rPr>
                <w:rFonts w:cs="Arial"/>
                <w:color w:val="000000" w:themeColor="text1"/>
                <w:szCs w:val="20"/>
              </w:rPr>
            </w:pPr>
            <w:r w:rsidRPr="00171B46">
              <w:rPr>
                <w:rFonts w:cs="Arial"/>
                <w:color w:val="000000" w:themeColor="text1"/>
                <w:szCs w:val="20"/>
              </w:rPr>
              <w:t>Headteacher</w:t>
            </w:r>
          </w:p>
        </w:tc>
        <w:tc>
          <w:tcPr>
            <w:tcW w:w="6747" w:type="dxa"/>
            <w:vAlign w:val="center"/>
          </w:tcPr>
          <w:p w14:paraId="40FC2115" w14:textId="70DFAF43" w:rsidR="008720BC" w:rsidRPr="00171B46" w:rsidRDefault="008720BC" w:rsidP="002F44DA">
            <w:pPr>
              <w:spacing w:before="60" w:after="60" w:line="276" w:lineRule="auto"/>
              <w:rPr>
                <w:rFonts w:cs="Arial"/>
                <w:i/>
                <w:color w:val="000000" w:themeColor="text1"/>
                <w:szCs w:val="20"/>
              </w:rPr>
            </w:pPr>
          </w:p>
        </w:tc>
      </w:tr>
      <w:tr w:rsidR="00171B46" w:rsidRPr="00171B46" w14:paraId="15695992" w14:textId="77777777" w:rsidTr="00834636">
        <w:tc>
          <w:tcPr>
            <w:tcW w:w="2155" w:type="dxa"/>
            <w:vAlign w:val="center"/>
          </w:tcPr>
          <w:p w14:paraId="11B9B82A" w14:textId="3792713A" w:rsidR="008720BC" w:rsidRPr="00171B46" w:rsidRDefault="006514FE" w:rsidP="008720BC">
            <w:pPr>
              <w:spacing w:before="60" w:after="60" w:line="276" w:lineRule="auto"/>
              <w:rPr>
                <w:rFonts w:cs="Arial"/>
                <w:color w:val="000000" w:themeColor="text1"/>
                <w:szCs w:val="20"/>
              </w:rPr>
            </w:pPr>
            <w:r>
              <w:rPr>
                <w:rFonts w:cs="Arial"/>
                <w:color w:val="000000" w:themeColor="text1"/>
                <w:szCs w:val="20"/>
              </w:rPr>
              <w:t>Maths Lead</w:t>
            </w:r>
          </w:p>
        </w:tc>
        <w:tc>
          <w:tcPr>
            <w:tcW w:w="6747" w:type="dxa"/>
            <w:vAlign w:val="center"/>
          </w:tcPr>
          <w:p w14:paraId="1CDAEAAB" w14:textId="5053A449" w:rsidR="008720BC" w:rsidRPr="00171B46" w:rsidRDefault="008720BC" w:rsidP="008720BC">
            <w:pPr>
              <w:spacing w:before="60" w:after="60" w:line="276" w:lineRule="auto"/>
              <w:rPr>
                <w:rFonts w:cs="Arial"/>
                <w:i/>
                <w:color w:val="000000" w:themeColor="text1"/>
                <w:szCs w:val="20"/>
              </w:rPr>
            </w:pPr>
          </w:p>
        </w:tc>
      </w:tr>
    </w:tbl>
    <w:p w14:paraId="33B0562A" w14:textId="77777777" w:rsidR="008720BC" w:rsidRPr="00171B46" w:rsidRDefault="008720BC" w:rsidP="008720BC">
      <w:pPr>
        <w:spacing w:before="0" w:line="276" w:lineRule="auto"/>
        <w:rPr>
          <w:rFonts w:eastAsia="Calibri"/>
          <w:bCs w:val="0"/>
          <w:i/>
          <w:color w:val="000000" w:themeColor="text1"/>
          <w:szCs w:val="20"/>
          <w:lang w:val="en-US" w:eastAsia="en-US"/>
        </w:rPr>
      </w:pPr>
    </w:p>
    <w:p w14:paraId="0EE669B2" w14:textId="61F3797D" w:rsidR="008720BC" w:rsidRPr="00171B46" w:rsidRDefault="008720BC" w:rsidP="008720BC">
      <w:pPr>
        <w:spacing w:before="0" w:line="276" w:lineRule="auto"/>
        <w:rPr>
          <w:rFonts w:eastAsia="Calibri"/>
          <w:bCs w:val="0"/>
          <w:color w:val="000000" w:themeColor="text1"/>
          <w:szCs w:val="20"/>
          <w:lang w:eastAsia="en-US"/>
        </w:rPr>
      </w:pPr>
    </w:p>
    <w:p w14:paraId="2E285831" w14:textId="7A7894ED" w:rsidR="0018237B" w:rsidRPr="00171B46" w:rsidRDefault="0018237B" w:rsidP="00DF61CD">
      <w:pPr>
        <w:rPr>
          <w:color w:val="000000" w:themeColor="text1"/>
          <w:szCs w:val="20"/>
        </w:rPr>
      </w:pPr>
    </w:p>
    <w:sectPr w:rsidR="0018237B" w:rsidRPr="00171B46" w:rsidSect="00171B46">
      <w:headerReference w:type="default" r:id="rId17"/>
      <w:headerReference w:type="first" r:id="rId18"/>
      <w:pgSz w:w="11906" w:h="16838"/>
      <w:pgMar w:top="1702" w:right="1133"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4A18A" w14:textId="77777777" w:rsidR="0089143F" w:rsidRDefault="0089143F">
      <w:r>
        <w:separator/>
      </w:r>
    </w:p>
  </w:endnote>
  <w:endnote w:type="continuationSeparator" w:id="0">
    <w:p w14:paraId="3770E1B6" w14:textId="77777777" w:rsidR="0089143F" w:rsidRDefault="0089143F">
      <w:r>
        <w:continuationSeparator/>
      </w:r>
    </w:p>
  </w:endnote>
  <w:endnote w:type="continuationNotice" w:id="1">
    <w:p w14:paraId="2B334822" w14:textId="77777777" w:rsidR="0089143F" w:rsidRDefault="008914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DE4F" w14:textId="77777777" w:rsidR="0089143F" w:rsidRDefault="0089143F">
      <w:r>
        <w:separator/>
      </w:r>
    </w:p>
  </w:footnote>
  <w:footnote w:type="continuationSeparator" w:id="0">
    <w:p w14:paraId="70F7B358" w14:textId="77777777" w:rsidR="0089143F" w:rsidRDefault="0089143F">
      <w:r>
        <w:continuationSeparator/>
      </w:r>
    </w:p>
  </w:footnote>
  <w:footnote w:type="continuationNotice" w:id="1">
    <w:p w14:paraId="7240086C" w14:textId="77777777" w:rsidR="0089143F" w:rsidRDefault="0089143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1015" w14:textId="3573B490" w:rsidR="0089143F" w:rsidRDefault="0089143F">
    <w:pPr>
      <w:pStyle w:val="Header"/>
    </w:pPr>
    <w:r>
      <w:t xml:space="preserve">   </w:t>
    </w:r>
    <w:r>
      <w:drawing>
        <wp:inline distT="0" distB="0" distL="0" distR="0" wp14:anchorId="2837235C" wp14:editId="37426E20">
          <wp:extent cx="1582773" cy="504767"/>
          <wp:effectExtent l="0" t="0" r="0" b="0"/>
          <wp:docPr id="11" name="Picture 1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s_Hubs_Cambridge_Logo.jpg"/>
                  <pic:cNvPicPr/>
                </pic:nvPicPr>
                <pic:blipFill>
                  <a:blip r:embed="rId1">
                    <a:extLst>
                      <a:ext uri="{28A0092B-C50C-407E-A947-70E740481C1C}">
                        <a14:useLocalDpi xmlns:a14="http://schemas.microsoft.com/office/drawing/2010/main" val="0"/>
                      </a:ext>
                    </a:extLst>
                  </a:blip>
                  <a:stretch>
                    <a:fillRect/>
                  </a:stretch>
                </pic:blipFill>
                <pic:spPr>
                  <a:xfrm>
                    <a:off x="0" y="0"/>
                    <a:ext cx="1596849" cy="509256"/>
                  </a:xfrm>
                  <a:prstGeom prst="rect">
                    <a:avLst/>
                  </a:prstGeom>
                </pic:spPr>
              </pic:pic>
            </a:graphicData>
          </a:graphic>
        </wp:inline>
      </w:drawing>
    </w:r>
    <w:r>
      <w:t xml:space="preserve">                                                                       </w:t>
    </w:r>
    <w:r>
      <w:drawing>
        <wp:inline distT="0" distB="0" distL="0" distR="0" wp14:anchorId="17E6D2E2" wp14:editId="0D34F548">
          <wp:extent cx="1616917" cy="5238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ETM_Working_With_Logo.jpg"/>
                  <pic:cNvPicPr/>
                </pic:nvPicPr>
                <pic:blipFill>
                  <a:blip r:embed="rId2">
                    <a:extLst>
                      <a:ext uri="{28A0092B-C50C-407E-A947-70E740481C1C}">
                        <a14:useLocalDpi xmlns:a14="http://schemas.microsoft.com/office/drawing/2010/main" val="0"/>
                      </a:ext>
                    </a:extLst>
                  </a:blip>
                  <a:stretch>
                    <a:fillRect/>
                  </a:stretch>
                </pic:blipFill>
                <pic:spPr>
                  <a:xfrm>
                    <a:off x="0" y="0"/>
                    <a:ext cx="1620817" cy="5251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0DD6" w14:textId="2F279973" w:rsidR="0089143F" w:rsidRDefault="0089143F">
    <w:pPr>
      <w:pStyle w:val="Header"/>
    </w:pPr>
    <w:r>
      <w:drawing>
        <wp:inline distT="0" distB="0" distL="0" distR="0" wp14:anchorId="5B8705C8" wp14:editId="5E1E7874">
          <wp:extent cx="1642691" cy="523875"/>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hs_Hubs_Cambridge_Logo.jpg"/>
                  <pic:cNvPicPr/>
                </pic:nvPicPr>
                <pic:blipFill>
                  <a:blip r:embed="rId1">
                    <a:extLst>
                      <a:ext uri="{28A0092B-C50C-407E-A947-70E740481C1C}">
                        <a14:useLocalDpi xmlns:a14="http://schemas.microsoft.com/office/drawing/2010/main" val="0"/>
                      </a:ext>
                    </a:extLst>
                  </a:blip>
                  <a:stretch>
                    <a:fillRect/>
                  </a:stretch>
                </pic:blipFill>
                <pic:spPr>
                  <a:xfrm>
                    <a:off x="0" y="0"/>
                    <a:ext cx="1647631" cy="525450"/>
                  </a:xfrm>
                  <a:prstGeom prst="rect">
                    <a:avLst/>
                  </a:prstGeom>
                </pic:spPr>
              </pic:pic>
            </a:graphicData>
          </a:graphic>
        </wp:inline>
      </w:drawing>
    </w:r>
    <w:r>
      <w:t xml:space="preserve">                                                                        </w:t>
    </w:r>
    <w:r>
      <w:drawing>
        <wp:inline distT="0" distB="0" distL="0" distR="0" wp14:anchorId="378E8DC6" wp14:editId="49CA684C">
          <wp:extent cx="1624756" cy="526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ETM_Working_With_Logo.jpg"/>
                  <pic:cNvPicPr/>
                </pic:nvPicPr>
                <pic:blipFill>
                  <a:blip r:embed="rId2">
                    <a:extLst>
                      <a:ext uri="{28A0092B-C50C-407E-A947-70E740481C1C}">
                        <a14:useLocalDpi xmlns:a14="http://schemas.microsoft.com/office/drawing/2010/main" val="0"/>
                      </a:ext>
                    </a:extLst>
                  </a:blip>
                  <a:stretch>
                    <a:fillRect/>
                  </a:stretch>
                </pic:blipFill>
                <pic:spPr>
                  <a:xfrm>
                    <a:off x="0" y="0"/>
                    <a:ext cx="1638091" cy="530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267B8"/>
    <w:multiLevelType w:val="hybridMultilevel"/>
    <w:tmpl w:val="AF6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E48B3"/>
    <w:multiLevelType w:val="hybridMultilevel"/>
    <w:tmpl w:val="5BD2E33A"/>
    <w:lvl w:ilvl="0" w:tplc="A39629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6746F"/>
    <w:multiLevelType w:val="hybridMultilevel"/>
    <w:tmpl w:val="34122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3D2C96"/>
    <w:multiLevelType w:val="hybridMultilevel"/>
    <w:tmpl w:val="6978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1"/>
  </w:num>
  <w:num w:numId="5">
    <w:abstractNumId w:val="14"/>
  </w:num>
  <w:num w:numId="6">
    <w:abstractNumId w:val="7"/>
  </w:num>
  <w:num w:numId="7">
    <w:abstractNumId w:val="5"/>
  </w:num>
  <w:num w:numId="8">
    <w:abstractNumId w:val="30"/>
  </w:num>
  <w:num w:numId="9">
    <w:abstractNumId w:val="19"/>
  </w:num>
  <w:num w:numId="10">
    <w:abstractNumId w:val="16"/>
  </w:num>
  <w:num w:numId="11">
    <w:abstractNumId w:val="28"/>
  </w:num>
  <w:num w:numId="12">
    <w:abstractNumId w:val="15"/>
  </w:num>
  <w:num w:numId="13">
    <w:abstractNumId w:val="2"/>
  </w:num>
  <w:num w:numId="14">
    <w:abstractNumId w:val="0"/>
  </w:num>
  <w:num w:numId="15">
    <w:abstractNumId w:val="32"/>
  </w:num>
  <w:num w:numId="16">
    <w:abstractNumId w:val="29"/>
  </w:num>
  <w:num w:numId="17">
    <w:abstractNumId w:val="20"/>
  </w:num>
  <w:num w:numId="18">
    <w:abstractNumId w:val="8"/>
  </w:num>
  <w:num w:numId="19">
    <w:abstractNumId w:val="10"/>
  </w:num>
  <w:num w:numId="20">
    <w:abstractNumId w:val="9"/>
  </w:num>
  <w:num w:numId="21">
    <w:abstractNumId w:val="33"/>
  </w:num>
  <w:num w:numId="22">
    <w:abstractNumId w:val="35"/>
  </w:num>
  <w:num w:numId="23">
    <w:abstractNumId w:val="21"/>
  </w:num>
  <w:num w:numId="24">
    <w:abstractNumId w:val="18"/>
  </w:num>
  <w:num w:numId="25">
    <w:abstractNumId w:val="25"/>
  </w:num>
  <w:num w:numId="26">
    <w:abstractNumId w:val="3"/>
  </w:num>
  <w:num w:numId="27">
    <w:abstractNumId w:val="34"/>
  </w:num>
  <w:num w:numId="28">
    <w:abstractNumId w:val="24"/>
  </w:num>
  <w:num w:numId="29">
    <w:abstractNumId w:val="4"/>
  </w:num>
  <w:num w:numId="30">
    <w:abstractNumId w:val="22"/>
  </w:num>
  <w:num w:numId="31">
    <w:abstractNumId w:val="17"/>
  </w:num>
  <w:num w:numId="32">
    <w:abstractNumId w:val="6"/>
  </w:num>
  <w:num w:numId="33">
    <w:abstractNumId w:val="27"/>
  </w:num>
  <w:num w:numId="34">
    <w:abstractNumId w:val="12"/>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14F6"/>
    <w:rsid w:val="000E2FEE"/>
    <w:rsid w:val="000F04AF"/>
    <w:rsid w:val="000F2CA5"/>
    <w:rsid w:val="000F7754"/>
    <w:rsid w:val="00100816"/>
    <w:rsid w:val="00101E5C"/>
    <w:rsid w:val="0010569E"/>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71B46"/>
    <w:rsid w:val="0018237B"/>
    <w:rsid w:val="00187112"/>
    <w:rsid w:val="001876F1"/>
    <w:rsid w:val="001A0172"/>
    <w:rsid w:val="001B0BE8"/>
    <w:rsid w:val="001D1585"/>
    <w:rsid w:val="001D18E3"/>
    <w:rsid w:val="001D2F9B"/>
    <w:rsid w:val="001F0D3C"/>
    <w:rsid w:val="001F4132"/>
    <w:rsid w:val="001F7FE9"/>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57666"/>
    <w:rsid w:val="0026036F"/>
    <w:rsid w:val="00260A93"/>
    <w:rsid w:val="00266AA0"/>
    <w:rsid w:val="00271B91"/>
    <w:rsid w:val="00291BE5"/>
    <w:rsid w:val="002A7819"/>
    <w:rsid w:val="002B1833"/>
    <w:rsid w:val="002B20B4"/>
    <w:rsid w:val="002C1D72"/>
    <w:rsid w:val="002D7D97"/>
    <w:rsid w:val="002E32F3"/>
    <w:rsid w:val="002E4E1E"/>
    <w:rsid w:val="002E52D6"/>
    <w:rsid w:val="002F44DA"/>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3FEF"/>
    <w:rsid w:val="003A5C25"/>
    <w:rsid w:val="003B4CF2"/>
    <w:rsid w:val="003C009E"/>
    <w:rsid w:val="003C36FE"/>
    <w:rsid w:val="003E2BAF"/>
    <w:rsid w:val="003E5363"/>
    <w:rsid w:val="003F72C3"/>
    <w:rsid w:val="00400389"/>
    <w:rsid w:val="004045A1"/>
    <w:rsid w:val="0041086E"/>
    <w:rsid w:val="0041228B"/>
    <w:rsid w:val="0042095B"/>
    <w:rsid w:val="00426798"/>
    <w:rsid w:val="0042695E"/>
    <w:rsid w:val="00427B35"/>
    <w:rsid w:val="004406EE"/>
    <w:rsid w:val="0044150C"/>
    <w:rsid w:val="00442B70"/>
    <w:rsid w:val="00443A1D"/>
    <w:rsid w:val="004467B5"/>
    <w:rsid w:val="00447C51"/>
    <w:rsid w:val="0045228D"/>
    <w:rsid w:val="004628FB"/>
    <w:rsid w:val="00462A73"/>
    <w:rsid w:val="00465B8A"/>
    <w:rsid w:val="00495043"/>
    <w:rsid w:val="004A0958"/>
    <w:rsid w:val="004A23AC"/>
    <w:rsid w:val="004A754D"/>
    <w:rsid w:val="004B4722"/>
    <w:rsid w:val="004B4A5C"/>
    <w:rsid w:val="004B588C"/>
    <w:rsid w:val="004B6CDD"/>
    <w:rsid w:val="004C4BF8"/>
    <w:rsid w:val="004D5F2B"/>
    <w:rsid w:val="004E27CA"/>
    <w:rsid w:val="004E5097"/>
    <w:rsid w:val="004E7134"/>
    <w:rsid w:val="004F2397"/>
    <w:rsid w:val="00504E64"/>
    <w:rsid w:val="0051016C"/>
    <w:rsid w:val="00512FCF"/>
    <w:rsid w:val="00513BE1"/>
    <w:rsid w:val="00517CF5"/>
    <w:rsid w:val="00526A62"/>
    <w:rsid w:val="00545C73"/>
    <w:rsid w:val="0055556D"/>
    <w:rsid w:val="005567DF"/>
    <w:rsid w:val="0056462E"/>
    <w:rsid w:val="00567F45"/>
    <w:rsid w:val="0057079E"/>
    <w:rsid w:val="0057282C"/>
    <w:rsid w:val="005747E7"/>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056C9"/>
    <w:rsid w:val="00611761"/>
    <w:rsid w:val="00613973"/>
    <w:rsid w:val="00614DF9"/>
    <w:rsid w:val="00614F7F"/>
    <w:rsid w:val="00616298"/>
    <w:rsid w:val="0061747C"/>
    <w:rsid w:val="006356FE"/>
    <w:rsid w:val="00637985"/>
    <w:rsid w:val="00644B1C"/>
    <w:rsid w:val="00646578"/>
    <w:rsid w:val="006514FE"/>
    <w:rsid w:val="006679EF"/>
    <w:rsid w:val="006846BE"/>
    <w:rsid w:val="006975C5"/>
    <w:rsid w:val="006A4171"/>
    <w:rsid w:val="006A673E"/>
    <w:rsid w:val="006B539F"/>
    <w:rsid w:val="006B6F5D"/>
    <w:rsid w:val="006B7352"/>
    <w:rsid w:val="006C33E8"/>
    <w:rsid w:val="006C3D4F"/>
    <w:rsid w:val="006C6C4E"/>
    <w:rsid w:val="006D0A4C"/>
    <w:rsid w:val="006D21A3"/>
    <w:rsid w:val="006D32C5"/>
    <w:rsid w:val="006D55D7"/>
    <w:rsid w:val="006D7193"/>
    <w:rsid w:val="007048E4"/>
    <w:rsid w:val="007131B4"/>
    <w:rsid w:val="00716F42"/>
    <w:rsid w:val="00724C47"/>
    <w:rsid w:val="00727620"/>
    <w:rsid w:val="007335E9"/>
    <w:rsid w:val="00752CAB"/>
    <w:rsid w:val="00753126"/>
    <w:rsid w:val="0075389A"/>
    <w:rsid w:val="00763AF2"/>
    <w:rsid w:val="0077116A"/>
    <w:rsid w:val="00791311"/>
    <w:rsid w:val="0079639A"/>
    <w:rsid w:val="007A2943"/>
    <w:rsid w:val="007A7EDA"/>
    <w:rsid w:val="007B2880"/>
    <w:rsid w:val="007B360C"/>
    <w:rsid w:val="007B7458"/>
    <w:rsid w:val="007C5A4D"/>
    <w:rsid w:val="007C61AC"/>
    <w:rsid w:val="007C7BD5"/>
    <w:rsid w:val="007D458C"/>
    <w:rsid w:val="007D5394"/>
    <w:rsid w:val="007E0195"/>
    <w:rsid w:val="007E2B26"/>
    <w:rsid w:val="007E5F2B"/>
    <w:rsid w:val="007F5868"/>
    <w:rsid w:val="007F7638"/>
    <w:rsid w:val="00801132"/>
    <w:rsid w:val="00803292"/>
    <w:rsid w:val="00816D36"/>
    <w:rsid w:val="00820E16"/>
    <w:rsid w:val="008228DB"/>
    <w:rsid w:val="00834636"/>
    <w:rsid w:val="00835FA8"/>
    <w:rsid w:val="00846D33"/>
    <w:rsid w:val="00857200"/>
    <w:rsid w:val="008573D4"/>
    <w:rsid w:val="00857F22"/>
    <w:rsid w:val="008720BC"/>
    <w:rsid w:val="00873379"/>
    <w:rsid w:val="00880AE2"/>
    <w:rsid w:val="00885806"/>
    <w:rsid w:val="00886740"/>
    <w:rsid w:val="0089143F"/>
    <w:rsid w:val="008951D3"/>
    <w:rsid w:val="008A64D5"/>
    <w:rsid w:val="008B6CA2"/>
    <w:rsid w:val="008B74A7"/>
    <w:rsid w:val="008C1238"/>
    <w:rsid w:val="008C6C23"/>
    <w:rsid w:val="008C7961"/>
    <w:rsid w:val="008D09CC"/>
    <w:rsid w:val="008D395B"/>
    <w:rsid w:val="008E0EB4"/>
    <w:rsid w:val="008E4454"/>
    <w:rsid w:val="009110D7"/>
    <w:rsid w:val="0091118A"/>
    <w:rsid w:val="0091410A"/>
    <w:rsid w:val="009222D3"/>
    <w:rsid w:val="00922645"/>
    <w:rsid w:val="0092708A"/>
    <w:rsid w:val="00927469"/>
    <w:rsid w:val="0093171E"/>
    <w:rsid w:val="00954EBE"/>
    <w:rsid w:val="0096142E"/>
    <w:rsid w:val="009619DA"/>
    <w:rsid w:val="0096463E"/>
    <w:rsid w:val="00965C1F"/>
    <w:rsid w:val="00972C1B"/>
    <w:rsid w:val="00974704"/>
    <w:rsid w:val="009756BF"/>
    <w:rsid w:val="009847C8"/>
    <w:rsid w:val="00984860"/>
    <w:rsid w:val="00984AF9"/>
    <w:rsid w:val="00987D87"/>
    <w:rsid w:val="00997D41"/>
    <w:rsid w:val="009A26B5"/>
    <w:rsid w:val="009A32CD"/>
    <w:rsid w:val="009A35FA"/>
    <w:rsid w:val="009B3055"/>
    <w:rsid w:val="009B3492"/>
    <w:rsid w:val="009C3904"/>
    <w:rsid w:val="009D187C"/>
    <w:rsid w:val="009D1FF1"/>
    <w:rsid w:val="009D254D"/>
    <w:rsid w:val="009D438A"/>
    <w:rsid w:val="009D4CDC"/>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3398"/>
    <w:rsid w:val="00A75BEA"/>
    <w:rsid w:val="00A826CF"/>
    <w:rsid w:val="00A85692"/>
    <w:rsid w:val="00A86398"/>
    <w:rsid w:val="00AA36E6"/>
    <w:rsid w:val="00AB084B"/>
    <w:rsid w:val="00AC149B"/>
    <w:rsid w:val="00AC277A"/>
    <w:rsid w:val="00AD7BCB"/>
    <w:rsid w:val="00AF2DD4"/>
    <w:rsid w:val="00AF6A2C"/>
    <w:rsid w:val="00B06052"/>
    <w:rsid w:val="00B15977"/>
    <w:rsid w:val="00B20608"/>
    <w:rsid w:val="00B244DA"/>
    <w:rsid w:val="00B3584E"/>
    <w:rsid w:val="00B41F80"/>
    <w:rsid w:val="00B602B3"/>
    <w:rsid w:val="00B721A4"/>
    <w:rsid w:val="00B77115"/>
    <w:rsid w:val="00B77FA4"/>
    <w:rsid w:val="00B81B49"/>
    <w:rsid w:val="00B820EA"/>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BF6D18"/>
    <w:rsid w:val="00C026F0"/>
    <w:rsid w:val="00C04003"/>
    <w:rsid w:val="00C077E6"/>
    <w:rsid w:val="00C11FCB"/>
    <w:rsid w:val="00C121D4"/>
    <w:rsid w:val="00C16558"/>
    <w:rsid w:val="00C24B2E"/>
    <w:rsid w:val="00C2713F"/>
    <w:rsid w:val="00C34A0F"/>
    <w:rsid w:val="00C40957"/>
    <w:rsid w:val="00C418E9"/>
    <w:rsid w:val="00C41B57"/>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968D5"/>
    <w:rsid w:val="00EA1F69"/>
    <w:rsid w:val="00EA6BE6"/>
    <w:rsid w:val="00EB37D6"/>
    <w:rsid w:val="00EC021A"/>
    <w:rsid w:val="00EC792F"/>
    <w:rsid w:val="00ED2116"/>
    <w:rsid w:val="00ED2E4B"/>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B820EA"/>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 w:type="character" w:customStyle="1" w:styleId="UnresolvedMention2">
    <w:name w:val="Unresolved Mention2"/>
    <w:basedOn w:val="DefaultParagraphFont"/>
    <w:uiPriority w:val="99"/>
    <w:semiHidden/>
    <w:unhideWhenUsed/>
    <w:rsid w:val="004C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quest-a-reminder-for-a-teacher-reference-number-tr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10" Type="http://schemas.openxmlformats.org/officeDocument/2006/relationships/hyperlink" Target="https://www.ncetm.org.uk/teaching-for-master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DD31BFE30D94388623EE9A3EE69D5" ma:contentTypeVersion="14" ma:contentTypeDescription="Create a new document." ma:contentTypeScope="" ma:versionID="a8d80106382073642e434c3592ee5965">
  <xsd:schema xmlns:xsd="http://www.w3.org/2001/XMLSchema" xmlns:xs="http://www.w3.org/2001/XMLSchema" xmlns:p="http://schemas.microsoft.com/office/2006/metadata/properties" xmlns:ns3="818e9312-6a79-417c-bd1d-aa09dde6a901" xmlns:ns4="d51ec711-1f85-4cca-a208-32df8762c437" targetNamespace="http://schemas.microsoft.com/office/2006/metadata/properties" ma:root="true" ma:fieldsID="69fc032cdfd08e13818251eb88977f84" ns3:_="" ns4:_="">
    <xsd:import namespace="818e9312-6a79-417c-bd1d-aa09dde6a901"/>
    <xsd:import namespace="d51ec711-1f85-4cca-a208-32df8762c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9312-6a79-417c-bd1d-aa09dde6a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ec711-1f85-4cca-a208-32df8762c4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2006/documentManagement/types"/>
    <ds:schemaRef ds:uri="d51ec711-1f85-4cca-a208-32df8762c437"/>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818e9312-6a79-417c-bd1d-aa09dde6a901"/>
    <ds:schemaRef ds:uri="http://www.w3.org/XML/1998/namespac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710EB36E-9D8F-48D0-A62A-B52C586D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e9312-6a79-417c-bd1d-aa09dde6a901"/>
    <ds:schemaRef ds:uri="d51ec711-1f85-4cca-a208-32df8762c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6</cp:revision>
  <cp:lastPrinted>2006-10-20T09:58:00Z</cp:lastPrinted>
  <dcterms:created xsi:type="dcterms:W3CDTF">2022-06-30T09:43:00Z</dcterms:created>
  <dcterms:modified xsi:type="dcterms:W3CDTF">2022-07-12T14:49:00Z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0x0101008A2DD31BFE30D94388623EE9A3EE69D5</vt:lpwstr>
  </property>
</Properties>
</file>