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3E580381"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372A06">
        <w:rPr>
          <w:lang w:eastAsia="en-US"/>
        </w:rPr>
        <w:t>2</w:t>
      </w:r>
      <w:r w:rsidR="00054CBC">
        <w:rPr>
          <w:lang w:eastAsia="en-US"/>
        </w:rPr>
        <w:t>/2</w:t>
      </w:r>
      <w:r w:rsidR="00372A06">
        <w:rPr>
          <w:lang w:eastAsia="en-US"/>
        </w:rPr>
        <w:t>3</w:t>
      </w:r>
    </w:p>
    <w:p w14:paraId="518B4F84" w14:textId="72D6C6F2" w:rsidR="00F45CB0" w:rsidRPr="00F45CB0" w:rsidRDefault="00F45CB0" w:rsidP="00F45CB0">
      <w:pPr>
        <w:jc w:val="center"/>
        <w:rPr>
          <w:lang w:eastAsia="en-US"/>
        </w:rPr>
      </w:pPr>
      <w:r>
        <w:rPr>
          <w:lang w:eastAsia="en-US"/>
        </w:rPr>
        <w:t>Deadline: 2</w:t>
      </w:r>
      <w:r w:rsidR="002C7411">
        <w:rPr>
          <w:lang w:eastAsia="en-US"/>
        </w:rPr>
        <w:t>8th</w:t>
      </w:r>
      <w:bookmarkStart w:id="0" w:name="_GoBack"/>
      <w:bookmarkEnd w:id="0"/>
      <w:r>
        <w:rPr>
          <w:lang w:eastAsia="en-US"/>
        </w:rPr>
        <w:t xml:space="preserve"> May 2022</w:t>
      </w:r>
    </w:p>
    <w:p w14:paraId="5DA281BC" w14:textId="77777777" w:rsidR="00F45CB0" w:rsidRPr="00F45CB0" w:rsidRDefault="00F45CB0" w:rsidP="00F45CB0">
      <w:pPr>
        <w:rPr>
          <w:lang w:eastAsia="en-US"/>
        </w:rPr>
      </w:pPr>
    </w:p>
    <w:tbl>
      <w:tblPr>
        <w:tblStyle w:val="TableGrid"/>
        <w:tblW w:w="9956" w:type="dxa"/>
        <w:tblLook w:val="04A0" w:firstRow="1" w:lastRow="0" w:firstColumn="1" w:lastColumn="0" w:noHBand="0" w:noVBand="1"/>
      </w:tblPr>
      <w:tblGrid>
        <w:gridCol w:w="9956"/>
      </w:tblGrid>
      <w:tr w:rsidR="00B244DA" w14:paraId="05208F3A" w14:textId="77777777" w:rsidTr="009F6642">
        <w:trPr>
          <w:trHeight w:val="616"/>
        </w:trPr>
        <w:tc>
          <w:tcPr>
            <w:tcW w:w="9956" w:type="dxa"/>
          </w:tcPr>
          <w:p w14:paraId="64E163E1" w14:textId="77777777" w:rsidR="007C7BD5" w:rsidRPr="009F6642" w:rsidRDefault="007C7BD5" w:rsidP="009F6642">
            <w:pPr>
              <w:spacing w:before="0" w:line="240" w:lineRule="auto"/>
              <w:jc w:val="center"/>
              <w:rPr>
                <w:b/>
                <w:bCs w:val="0"/>
                <w:color w:val="000000" w:themeColor="text1"/>
                <w:lang w:eastAsia="en-US"/>
              </w:rPr>
            </w:pPr>
            <w:r w:rsidRPr="009F6642">
              <w:rPr>
                <w:b/>
                <w:bCs w:val="0"/>
                <w:color w:val="000000" w:themeColor="text1"/>
                <w:lang w:eastAsia="en-US"/>
              </w:rPr>
              <w:t>Covid Recovery</w:t>
            </w:r>
          </w:p>
          <w:p w14:paraId="0C61204B" w14:textId="79701511" w:rsidR="00B244DA" w:rsidRPr="009F6642" w:rsidRDefault="00ED2179" w:rsidP="009F6642">
            <w:pPr>
              <w:spacing w:before="0" w:line="240" w:lineRule="auto"/>
              <w:jc w:val="center"/>
              <w:rPr>
                <w:lang w:eastAsia="en-US"/>
              </w:rPr>
            </w:pPr>
            <w:r w:rsidRPr="009F6642">
              <w:rPr>
                <w:color w:val="000000" w:themeColor="text1"/>
                <w:lang w:eastAsia="en-US"/>
              </w:rPr>
              <w:t>A</w:t>
            </w:r>
            <w:r w:rsidR="007C7BD5" w:rsidRPr="009F6642">
              <w:rPr>
                <w:color w:val="000000" w:themeColor="text1"/>
                <w:lang w:eastAsia="en-US"/>
              </w:rPr>
              <w:t>ll Maths Hubs work will remain flexible and adapt to changing realities</w:t>
            </w:r>
          </w:p>
        </w:tc>
      </w:tr>
    </w:tbl>
    <w:p w14:paraId="555468A2" w14:textId="020E7461" w:rsidR="00C40957" w:rsidRPr="009F6642" w:rsidRDefault="00C40957" w:rsidP="009A35FA">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In 202</w:t>
      </w:r>
      <w:r w:rsidR="001B1AF9" w:rsidRPr="009F6642">
        <w:rPr>
          <w:rFonts w:eastAsia="Times New Roman" w:cs="Arial"/>
          <w:color w:val="000000" w:themeColor="text1"/>
          <w:spacing w:val="0"/>
          <w:sz w:val="20"/>
          <w:szCs w:val="40"/>
        </w:rPr>
        <w:t>2</w:t>
      </w:r>
      <w:r w:rsidRPr="009F6642">
        <w:rPr>
          <w:rFonts w:eastAsia="Times New Roman" w:cs="Arial"/>
          <w:color w:val="000000" w:themeColor="text1"/>
          <w:spacing w:val="0"/>
          <w:sz w:val="20"/>
          <w:szCs w:val="40"/>
        </w:rPr>
        <w:t>/2</w:t>
      </w:r>
      <w:r w:rsidR="001B1AF9"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 xml:space="preserve">,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9F6642" w:rsidRDefault="007335E9" w:rsidP="009A35FA">
      <w:pPr>
        <w:pStyle w:val="Subtitle"/>
        <w:rPr>
          <w:color w:val="000000" w:themeColor="text1"/>
        </w:rPr>
      </w:pPr>
      <w:r w:rsidRPr="009F6642">
        <w:rPr>
          <w:color w:val="000000" w:themeColor="text1"/>
        </w:rPr>
        <w:t>Background</w:t>
      </w:r>
    </w:p>
    <w:p w14:paraId="477BD5F5" w14:textId="77777777" w:rsidR="00885806" w:rsidRPr="009F6642" w:rsidRDefault="00885806" w:rsidP="00885806">
      <w:pPr>
        <w:rPr>
          <w:color w:val="000000" w:themeColor="text1"/>
        </w:rPr>
      </w:pPr>
      <w:r w:rsidRPr="009F6642">
        <w:rPr>
          <w:color w:val="000000" w:themeColor="text1"/>
        </w:rPr>
        <w:t xml:space="preserve">Since 2014, the NCETM and Maths Hubs have been working together to develop </w:t>
      </w:r>
      <w:hyperlink r:id="rId10" w:history="1">
        <w:r w:rsidRPr="009F6642">
          <w:rPr>
            <w:rStyle w:val="Hyperlink"/>
            <w:color w:val="000000" w:themeColor="text1"/>
          </w:rPr>
          <w:t>approaches to teaching for mastery</w:t>
        </w:r>
      </w:hyperlink>
      <w:r w:rsidRPr="009F6642">
        <w:rPr>
          <w:color w:val="000000" w:themeColor="text1"/>
        </w:rPr>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9F6642" w:rsidRDefault="00B77115" w:rsidP="00300F8E">
      <w:pPr>
        <w:pStyle w:val="Subtitle"/>
        <w:rPr>
          <w:color w:val="000000" w:themeColor="text1"/>
        </w:rPr>
      </w:pPr>
      <w:r w:rsidRPr="009F6642">
        <w:rPr>
          <w:color w:val="000000" w:themeColor="text1"/>
        </w:rPr>
        <w:t>The Teaching for Mastery Development Work Groups</w:t>
      </w:r>
    </w:p>
    <w:p w14:paraId="1E2F3AFA" w14:textId="1F102638" w:rsidR="00234539" w:rsidRPr="009F6642" w:rsidRDefault="00234539" w:rsidP="00234539">
      <w:pPr>
        <w:rPr>
          <w:color w:val="000000" w:themeColor="text1"/>
        </w:rPr>
      </w:pPr>
      <w:r w:rsidRPr="009F6642">
        <w:rPr>
          <w:color w:val="000000" w:themeColor="text1"/>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9F6642" w:rsidRDefault="006679EF" w:rsidP="000F2CA5">
      <w:pPr>
        <w:pStyle w:val="ListParagraph"/>
        <w:numPr>
          <w:ilvl w:val="0"/>
          <w:numId w:val="30"/>
        </w:numPr>
        <w:rPr>
          <w:rFonts w:ascii="Arial" w:hAnsi="Arial" w:cs="Arial"/>
          <w:color w:val="000000" w:themeColor="text1"/>
          <w:sz w:val="20"/>
          <w:szCs w:val="20"/>
        </w:rPr>
      </w:pPr>
      <w:bookmarkStart w:id="1" w:name="_Hlk69737073"/>
      <w:r w:rsidRPr="009F6642">
        <w:rPr>
          <w:rFonts w:ascii="Arial" w:hAnsi="Arial" w:cs="Arial"/>
          <w:color w:val="000000" w:themeColor="text1"/>
          <w:sz w:val="20"/>
          <w:szCs w:val="20"/>
        </w:rPr>
        <w:t>Each school identifying two teachers to lead developments within their school</w:t>
      </w:r>
    </w:p>
    <w:p w14:paraId="48C9C06B"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1"/>
    <w:p w14:paraId="0549D271" w14:textId="2C11D7A7" w:rsidR="009F6642" w:rsidRDefault="009F6642">
      <w:pPr>
        <w:spacing w:before="0" w:line="240" w:lineRule="auto"/>
        <w:rPr>
          <w:rFonts w:eastAsiaTheme="minorEastAsia" w:cstheme="minorBidi"/>
          <w:color w:val="000000" w:themeColor="text1"/>
          <w:spacing w:val="15"/>
          <w:sz w:val="28"/>
          <w:szCs w:val="22"/>
        </w:rPr>
      </w:pPr>
      <w:r>
        <w:rPr>
          <w:color w:val="000000" w:themeColor="text1"/>
        </w:rPr>
        <w:br w:type="page"/>
      </w:r>
    </w:p>
    <w:p w14:paraId="40923431" w14:textId="53191BBC" w:rsidR="00A00E3E" w:rsidRPr="009F6642" w:rsidRDefault="000E2FEE" w:rsidP="002148F0">
      <w:pPr>
        <w:pStyle w:val="Subtitle"/>
        <w:rPr>
          <w:color w:val="000000" w:themeColor="text1"/>
        </w:rPr>
      </w:pPr>
      <w:r w:rsidRPr="009F6642">
        <w:rPr>
          <w:color w:val="000000" w:themeColor="text1"/>
        </w:rPr>
        <w:lastRenderedPageBreak/>
        <w:t>B</w:t>
      </w:r>
      <w:r w:rsidR="00443A1D" w:rsidRPr="009F6642">
        <w:rPr>
          <w:color w:val="000000" w:themeColor="text1"/>
        </w:rPr>
        <w:t>enefits for participating schools</w:t>
      </w:r>
    </w:p>
    <w:p w14:paraId="2785DDC1" w14:textId="77777777" w:rsidR="00E74201" w:rsidRPr="009F6642" w:rsidRDefault="00E74201" w:rsidP="00E74201">
      <w:pPr>
        <w:rPr>
          <w:color w:val="000000" w:themeColor="text1"/>
        </w:rPr>
      </w:pPr>
      <w:r w:rsidRPr="009F6642">
        <w:rPr>
          <w:color w:val="000000" w:themeColor="text1"/>
        </w:rPr>
        <w:t>Participating in the Work Group will provide the following benefits to participant schools:</w:t>
      </w:r>
    </w:p>
    <w:p w14:paraId="5598F853"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High quality support for teacher professional development for the lead teachers, facilitated by the Mastery Specialist</w:t>
      </w:r>
    </w:p>
    <w:p w14:paraId="687B5F5E"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Opportunity to work closely with other schools also developing teaching for mastery</w:t>
      </w:r>
    </w:p>
    <w:p w14:paraId="74EE8921"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No charge for participation and a grant of £1000 to help subsidise teacher release time.</w:t>
      </w:r>
    </w:p>
    <w:p w14:paraId="681C9714" w14:textId="3E0DC853" w:rsidR="00791311" w:rsidRPr="009F6642" w:rsidRDefault="00C84C2C" w:rsidP="00791311">
      <w:pPr>
        <w:pStyle w:val="Subtitle"/>
        <w:rPr>
          <w:color w:val="000000" w:themeColor="text1"/>
        </w:rPr>
      </w:pPr>
      <w:r w:rsidRPr="009F6642">
        <w:rPr>
          <w:color w:val="000000" w:themeColor="text1"/>
        </w:rPr>
        <w:t>Who can apply</w:t>
      </w:r>
    </w:p>
    <w:p w14:paraId="1AF26A7C" w14:textId="75328AFD" w:rsidR="00997D41" w:rsidRPr="009F6642" w:rsidRDefault="00997D41" w:rsidP="008D395B">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The Work Groups are intended for schools that are already committed to using teaching for mastery approaches for primary maths. Schools should also have the capacity for engaging in significant development work during 202</w:t>
      </w:r>
      <w:r w:rsidR="009544A8" w:rsidRPr="009F6642">
        <w:rPr>
          <w:rFonts w:eastAsia="Times New Roman" w:cs="Arial"/>
          <w:color w:val="000000" w:themeColor="text1"/>
          <w:spacing w:val="0"/>
          <w:sz w:val="20"/>
          <w:szCs w:val="40"/>
        </w:rPr>
        <w:t>2</w:t>
      </w:r>
      <w:r w:rsidRPr="009F6642">
        <w:rPr>
          <w:rFonts w:eastAsia="Times New Roman" w:cs="Arial"/>
          <w:color w:val="000000" w:themeColor="text1"/>
          <w:spacing w:val="0"/>
          <w:sz w:val="20"/>
          <w:szCs w:val="40"/>
        </w:rPr>
        <w:t>/2</w:t>
      </w:r>
      <w:r w:rsidR="009544A8"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 xml:space="preserve">. </w:t>
      </w:r>
    </w:p>
    <w:p w14:paraId="67A745D6" w14:textId="6ED9D202" w:rsidR="00020671" w:rsidRPr="009F6642" w:rsidRDefault="00D66E20" w:rsidP="008D395B">
      <w:pPr>
        <w:pStyle w:val="Subtitle"/>
        <w:rPr>
          <w:color w:val="000000" w:themeColor="text1"/>
        </w:rPr>
      </w:pPr>
      <w:r w:rsidRPr="009F6642">
        <w:rPr>
          <w:color w:val="000000" w:themeColor="text1"/>
        </w:rPr>
        <w:t>Expectations of participating schools</w:t>
      </w:r>
    </w:p>
    <w:p w14:paraId="3F1BF8D2" w14:textId="77777777" w:rsidR="00E011EB" w:rsidRPr="009F6642" w:rsidRDefault="00E011EB" w:rsidP="00E011EB">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Schools chosen to participate in the Work Group commit to the following expectations:</w:t>
      </w:r>
    </w:p>
    <w:p w14:paraId="2F255ED1"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lead teachers will receive a minimum of ten (combined) days’ release time for development work including the above meetings</w:t>
      </w:r>
    </w:p>
    <w:p w14:paraId="41A5C84B"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headteacher will meet with the Mastery Specialist and the Maths Hub’s leadership as well as working with the other Work Group school headteachers</w:t>
      </w:r>
    </w:p>
    <w:p w14:paraId="1001C7A1"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provide any reports required by the Maths Hub and participate in any evaluation processes required</w:t>
      </w:r>
    </w:p>
    <w:p w14:paraId="7DFFBDD3" w14:textId="16D589FC"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continue to collaborate with the schools in the Work Group for the year 202</w:t>
      </w:r>
      <w:r w:rsidR="009544A8"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/2</w:t>
      </w:r>
      <w:r w:rsidR="009544A8" w:rsidRPr="009F6642">
        <w:rPr>
          <w:rFonts w:eastAsia="Times New Roman" w:cs="Arial"/>
          <w:color w:val="000000" w:themeColor="text1"/>
          <w:spacing w:val="0"/>
          <w:sz w:val="20"/>
          <w:szCs w:val="40"/>
        </w:rPr>
        <w:t>4</w:t>
      </w:r>
      <w:r w:rsidRPr="009F6642">
        <w:rPr>
          <w:rFonts w:eastAsia="Times New Roman" w:cs="Arial"/>
          <w:color w:val="000000" w:themeColor="text1"/>
          <w:spacing w:val="0"/>
          <w:sz w:val="20"/>
          <w:szCs w:val="40"/>
        </w:rPr>
        <w:t xml:space="preserve"> and beyond.</w:t>
      </w:r>
    </w:p>
    <w:p w14:paraId="022AF5B9" w14:textId="18889BBF" w:rsidR="000B5FEC" w:rsidRPr="00E557C4" w:rsidRDefault="00026C6F" w:rsidP="00E011EB">
      <w:pPr>
        <w:pStyle w:val="Subtitle"/>
        <w:rPr>
          <w:color w:val="000000" w:themeColor="text1"/>
        </w:rPr>
      </w:pPr>
      <w:r w:rsidRPr="00E557C4">
        <w:rPr>
          <w:color w:val="000000" w:themeColor="text1"/>
        </w:rPr>
        <w:t>Funding</w:t>
      </w:r>
    </w:p>
    <w:p w14:paraId="79E514F9" w14:textId="77777777" w:rsidR="006B539F" w:rsidRPr="00E557C4" w:rsidRDefault="006B539F" w:rsidP="004E7134">
      <w:pPr>
        <w:pStyle w:val="Subtitle"/>
        <w:rPr>
          <w:rFonts w:eastAsia="Times New Roman" w:cs="Arial"/>
          <w:color w:val="000000" w:themeColor="text1"/>
          <w:spacing w:val="0"/>
          <w:sz w:val="20"/>
          <w:szCs w:val="40"/>
        </w:rPr>
      </w:pPr>
      <w:r w:rsidRPr="00E557C4">
        <w:rPr>
          <w:rFonts w:eastAsia="Times New Roman" w:cs="Arial"/>
          <w:color w:val="000000" w:themeColor="text1"/>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Pr="00E557C4" w:rsidRDefault="004E7134" w:rsidP="004E7134">
      <w:pPr>
        <w:pStyle w:val="Subtitle"/>
        <w:rPr>
          <w:color w:val="000000" w:themeColor="text1"/>
        </w:rPr>
      </w:pPr>
      <w:r w:rsidRPr="00E557C4">
        <w:rPr>
          <w:color w:val="000000" w:themeColor="text1"/>
        </w:rPr>
        <w:t>How to apply</w:t>
      </w:r>
    </w:p>
    <w:p w14:paraId="42F08710" w14:textId="25D06B3E" w:rsidR="0092708A" w:rsidRPr="00E557C4" w:rsidRDefault="0092708A" w:rsidP="0092708A">
      <w:pPr>
        <w:rPr>
          <w:color w:val="000000" w:themeColor="text1"/>
        </w:rPr>
      </w:pPr>
      <w:r w:rsidRPr="00E557C4">
        <w:rPr>
          <w:color w:val="000000" w:themeColor="text1"/>
        </w:rPr>
        <w:t>Schools interested in applying to be part of a Work Group in 202</w:t>
      </w:r>
      <w:r w:rsidR="009544A8" w:rsidRPr="00E557C4">
        <w:rPr>
          <w:color w:val="000000" w:themeColor="text1"/>
        </w:rPr>
        <w:t>2</w:t>
      </w:r>
      <w:r w:rsidRPr="00E557C4">
        <w:rPr>
          <w:color w:val="000000" w:themeColor="text1"/>
        </w:rPr>
        <w:t>/2</w:t>
      </w:r>
      <w:r w:rsidR="009544A8" w:rsidRPr="00E557C4">
        <w:rPr>
          <w:color w:val="000000" w:themeColor="text1"/>
        </w:rPr>
        <w:t>3</w:t>
      </w:r>
      <w:r w:rsidRPr="00E557C4">
        <w:rPr>
          <w:color w:val="000000" w:themeColor="text1"/>
        </w:rPr>
        <w:t xml:space="preserve"> should complete the application form below and submit to </w:t>
      </w:r>
      <w:hyperlink r:id="rId11" w:history="1">
        <w:r w:rsidR="00035C47" w:rsidRPr="00E557C4">
          <w:rPr>
            <w:rStyle w:val="Hyperlink"/>
            <w:color w:val="000000" w:themeColor="text1"/>
          </w:rPr>
          <w:t>admin@cambridgemathshub.org</w:t>
        </w:r>
      </w:hyperlink>
      <w:r w:rsidRPr="00E557C4">
        <w:rPr>
          <w:color w:val="000000" w:themeColor="text1"/>
        </w:rPr>
        <w:t>. Early applications are encouraged.</w:t>
      </w:r>
    </w:p>
    <w:p w14:paraId="207A5764" w14:textId="77777777" w:rsidR="0092708A" w:rsidRPr="00E557C4" w:rsidRDefault="0092708A" w:rsidP="0092708A">
      <w:pPr>
        <w:rPr>
          <w:color w:val="000000" w:themeColor="text1"/>
        </w:rPr>
      </w:pPr>
      <w:r w:rsidRPr="00E557C4">
        <w:rPr>
          <w:color w:val="000000" w:themeColor="text1"/>
        </w:rP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Pr="00E557C4" w:rsidRDefault="0092708A" w:rsidP="0092708A">
      <w:pPr>
        <w:rPr>
          <w:color w:val="000000" w:themeColor="text1"/>
        </w:rPr>
      </w:pPr>
      <w:r w:rsidRPr="00E557C4">
        <w:rPr>
          <w:color w:val="000000" w:themeColor="text1"/>
        </w:rPr>
        <w:t>Once the school has applied, the Maths Hub will then make contact with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067618B8"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9544A8">
        <w:rPr>
          <w:rFonts w:eastAsia="Calibri"/>
          <w:bCs w:val="0"/>
          <w:i/>
          <w:iCs/>
          <w:color w:val="000000" w:themeColor="text1"/>
          <w:szCs w:val="20"/>
          <w:lang w:val="en-US" w:eastAsia="en-US"/>
        </w:rPr>
        <w:t xml:space="preserve"> </w:t>
      </w:r>
      <w:r w:rsidRPr="009544A8">
        <w:rPr>
          <w:rFonts w:eastAsia="Calibri"/>
          <w:bCs w:val="0"/>
          <w:i/>
          <w:iCs/>
          <w:color w:val="000000" w:themeColor="text1"/>
          <w:szCs w:val="20"/>
          <w:lang w:eastAsia="en-US"/>
        </w:rPr>
        <w:t xml:space="preserve">(Please complete and return to </w:t>
      </w:r>
      <w:hyperlink r:id="rId12" w:history="1">
        <w:r w:rsidR="00112EE8" w:rsidRPr="00BA5730">
          <w:rPr>
            <w:rStyle w:val="Hyperlink"/>
            <w:rFonts w:eastAsia="Calibri"/>
            <w:bCs w:val="0"/>
            <w:i/>
            <w:iCs/>
            <w:szCs w:val="20"/>
            <w:lang w:eastAsia="en-US"/>
          </w:rPr>
          <w:t>admin@cambridgemathshub.org</w:t>
        </w:r>
      </w:hyperlink>
      <w:r w:rsidR="00112EE8">
        <w:rPr>
          <w:rFonts w:eastAsia="Calibri"/>
          <w:bCs w:val="0"/>
          <w:i/>
          <w:iCs/>
          <w:color w:val="808080" w:themeColor="background1" w:themeShade="80"/>
          <w:szCs w:val="20"/>
          <w:lang w:eastAsia="en-US"/>
        </w:rPr>
        <w:t xml:space="preserve"> </w:t>
      </w:r>
      <w:r w:rsidR="00112EE8" w:rsidRPr="009544A8">
        <w:rPr>
          <w:rFonts w:eastAsia="Calibri"/>
          <w:bCs w:val="0"/>
          <w:i/>
          <w:iCs/>
          <w:color w:val="000000" w:themeColor="text1"/>
          <w:szCs w:val="20"/>
          <w:lang w:eastAsia="en-US"/>
        </w:rPr>
        <w:t>by</w:t>
      </w:r>
      <w:r w:rsidR="00A74A5B">
        <w:rPr>
          <w:rFonts w:eastAsia="Calibri"/>
          <w:bCs w:val="0"/>
          <w:i/>
          <w:iCs/>
          <w:color w:val="000000" w:themeColor="text1"/>
          <w:szCs w:val="20"/>
          <w:lang w:eastAsia="en-US"/>
        </w:rPr>
        <w:t xml:space="preserve"> 20 May 2022</w:t>
      </w:r>
      <w:r w:rsidRPr="009544A8">
        <w:rPr>
          <w:rFonts w:eastAsia="Calibri"/>
          <w:bCs w:val="0"/>
          <w:color w:val="000000" w:themeColor="text1"/>
          <w:szCs w:val="20"/>
          <w:lang w:val="en-US" w:eastAsia="en-US"/>
        </w:rPr>
        <w:t>)</w:t>
      </w:r>
    </w:p>
    <w:p w14:paraId="1A90F55E" w14:textId="484B7D2F" w:rsidR="00495043" w:rsidRPr="00112EE8" w:rsidRDefault="001A0172" w:rsidP="00495043">
      <w:pPr>
        <w:spacing w:before="0" w:after="6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112EE8" w14:paraId="766039EF" w14:textId="77777777" w:rsidTr="006C33E8">
        <w:trPr>
          <w:trHeight w:val="279"/>
          <w:jc w:val="center"/>
        </w:trPr>
        <w:tc>
          <w:tcPr>
            <w:tcW w:w="4106" w:type="dxa"/>
          </w:tcPr>
          <w:p w14:paraId="4621E66C" w14:textId="0D251700" w:rsidR="00495043" w:rsidRPr="00112EE8" w:rsidRDefault="001A0172" w:rsidP="00775AE8">
            <w:pPr>
              <w:spacing w:before="0" w:line="276" w:lineRule="auto"/>
              <w:rPr>
                <w:rFonts w:cs="Arial"/>
                <w:color w:val="000000" w:themeColor="text1"/>
                <w:szCs w:val="20"/>
              </w:rPr>
            </w:pPr>
            <w:r w:rsidRPr="00112EE8">
              <w:rPr>
                <w:rFonts w:cs="Arial"/>
                <w:color w:val="000000" w:themeColor="text1"/>
                <w:szCs w:val="20"/>
              </w:rPr>
              <w:t>Which Maths Hub are you applying to?</w:t>
            </w:r>
          </w:p>
        </w:tc>
        <w:tc>
          <w:tcPr>
            <w:tcW w:w="4769" w:type="dxa"/>
          </w:tcPr>
          <w:p w14:paraId="1D919DD2" w14:textId="72E1A2A4" w:rsidR="00495043" w:rsidRPr="00112EE8" w:rsidRDefault="006A4BC1" w:rsidP="00775AE8">
            <w:pPr>
              <w:spacing w:before="0" w:line="276" w:lineRule="auto"/>
              <w:rPr>
                <w:rFonts w:cs="Arial"/>
                <w:color w:val="000000" w:themeColor="text1"/>
                <w:szCs w:val="20"/>
              </w:rPr>
            </w:pPr>
            <w:r w:rsidRPr="00112EE8">
              <w:rPr>
                <w:rFonts w:cs="Arial"/>
                <w:color w:val="000000" w:themeColor="text1"/>
                <w:szCs w:val="20"/>
              </w:rPr>
              <w:t>Cambridge Maths Hub</w:t>
            </w:r>
          </w:p>
        </w:tc>
      </w:tr>
    </w:tbl>
    <w:p w14:paraId="269AC554" w14:textId="77777777" w:rsidR="00495043" w:rsidRPr="00112EE8" w:rsidRDefault="00495043" w:rsidP="008720BC">
      <w:pPr>
        <w:spacing w:before="0" w:after="60" w:line="276" w:lineRule="auto"/>
        <w:rPr>
          <w:rFonts w:eastAsia="Calibri"/>
          <w:b/>
          <w:bCs w:val="0"/>
          <w:color w:val="000000" w:themeColor="text1"/>
          <w:szCs w:val="20"/>
          <w:lang w:val="en-US" w:eastAsia="en-US"/>
        </w:rPr>
      </w:pPr>
    </w:p>
    <w:p w14:paraId="4701712A" w14:textId="119F4806" w:rsidR="008720BC" w:rsidRPr="00112EE8" w:rsidRDefault="008720BC" w:rsidP="008720BC">
      <w:pPr>
        <w:spacing w:before="0" w:after="6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112EE8" w:rsidRPr="00112EE8" w14:paraId="01B3E330" w14:textId="77777777" w:rsidTr="005A7612">
        <w:trPr>
          <w:trHeight w:val="279"/>
          <w:jc w:val="center"/>
        </w:trPr>
        <w:tc>
          <w:tcPr>
            <w:tcW w:w="2176" w:type="dxa"/>
          </w:tcPr>
          <w:p w14:paraId="1D5F249D"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school</w:t>
            </w:r>
          </w:p>
        </w:tc>
        <w:tc>
          <w:tcPr>
            <w:tcW w:w="6699" w:type="dxa"/>
            <w:gridSpan w:val="3"/>
          </w:tcPr>
          <w:p w14:paraId="660C5208" w14:textId="77777777" w:rsidR="008720BC" w:rsidRPr="00112EE8" w:rsidRDefault="008720BC" w:rsidP="008720BC">
            <w:pPr>
              <w:spacing w:before="0" w:line="276" w:lineRule="auto"/>
              <w:rPr>
                <w:rFonts w:cs="Arial"/>
                <w:color w:val="000000" w:themeColor="text1"/>
                <w:szCs w:val="20"/>
              </w:rPr>
            </w:pPr>
          </w:p>
        </w:tc>
      </w:tr>
      <w:tr w:rsidR="00112EE8" w:rsidRPr="00112EE8" w14:paraId="755EBDFD" w14:textId="77777777" w:rsidTr="005A7612">
        <w:trPr>
          <w:trHeight w:val="279"/>
          <w:jc w:val="center"/>
        </w:trPr>
        <w:tc>
          <w:tcPr>
            <w:tcW w:w="2176" w:type="dxa"/>
          </w:tcPr>
          <w:p w14:paraId="6D1F5997"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Address</w:t>
            </w:r>
          </w:p>
        </w:tc>
        <w:tc>
          <w:tcPr>
            <w:tcW w:w="6699" w:type="dxa"/>
            <w:gridSpan w:val="3"/>
          </w:tcPr>
          <w:p w14:paraId="66BCD5B0" w14:textId="77777777" w:rsidR="008720BC" w:rsidRPr="00112EE8" w:rsidRDefault="008720BC" w:rsidP="008720BC">
            <w:pPr>
              <w:spacing w:before="0" w:line="276" w:lineRule="auto"/>
              <w:rPr>
                <w:rFonts w:cs="Arial"/>
                <w:color w:val="000000" w:themeColor="text1"/>
                <w:szCs w:val="20"/>
              </w:rPr>
            </w:pPr>
          </w:p>
        </w:tc>
      </w:tr>
      <w:tr w:rsidR="00112EE8" w:rsidRPr="00112EE8" w14:paraId="259C3957" w14:textId="77777777" w:rsidTr="00ED2116">
        <w:trPr>
          <w:trHeight w:val="549"/>
          <w:jc w:val="center"/>
        </w:trPr>
        <w:tc>
          <w:tcPr>
            <w:tcW w:w="2176" w:type="dxa"/>
          </w:tcPr>
          <w:p w14:paraId="4EAB992E"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School URN</w:t>
            </w:r>
          </w:p>
        </w:tc>
        <w:tc>
          <w:tcPr>
            <w:tcW w:w="2814" w:type="dxa"/>
          </w:tcPr>
          <w:p w14:paraId="282066BC" w14:textId="77777777" w:rsidR="008720BC" w:rsidRPr="00112EE8" w:rsidRDefault="008720BC" w:rsidP="008720BC">
            <w:pPr>
              <w:spacing w:before="0" w:line="276" w:lineRule="auto"/>
              <w:rPr>
                <w:rFonts w:cs="Arial"/>
                <w:color w:val="000000" w:themeColor="text1"/>
                <w:szCs w:val="20"/>
              </w:rPr>
            </w:pPr>
          </w:p>
        </w:tc>
        <w:tc>
          <w:tcPr>
            <w:tcW w:w="949" w:type="dxa"/>
          </w:tcPr>
          <w:p w14:paraId="7E11F8C9"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Contact telephone number</w:t>
            </w:r>
          </w:p>
        </w:tc>
        <w:tc>
          <w:tcPr>
            <w:tcW w:w="2936" w:type="dxa"/>
          </w:tcPr>
          <w:p w14:paraId="12822398" w14:textId="77777777" w:rsidR="008720BC" w:rsidRPr="00112EE8" w:rsidRDefault="008720BC" w:rsidP="008720BC">
            <w:pPr>
              <w:spacing w:before="0" w:line="276" w:lineRule="auto"/>
              <w:rPr>
                <w:rFonts w:cs="Arial"/>
                <w:color w:val="000000" w:themeColor="text1"/>
                <w:szCs w:val="20"/>
              </w:rPr>
            </w:pPr>
          </w:p>
        </w:tc>
      </w:tr>
      <w:tr w:rsidR="00112EE8" w:rsidRPr="00112EE8" w14:paraId="2375C125" w14:textId="77777777" w:rsidTr="00752CAB">
        <w:trPr>
          <w:trHeight w:val="839"/>
          <w:jc w:val="center"/>
        </w:trPr>
        <w:tc>
          <w:tcPr>
            <w:tcW w:w="2176" w:type="dxa"/>
          </w:tcPr>
          <w:p w14:paraId="75507E24" w14:textId="2C6D58A0"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headteache</w:t>
            </w:r>
            <w:r w:rsidR="00752CAB" w:rsidRPr="00112EE8">
              <w:rPr>
                <w:rFonts w:cs="Arial"/>
                <w:color w:val="000000" w:themeColor="text1"/>
                <w:szCs w:val="20"/>
              </w:rPr>
              <w:t>r</w:t>
            </w:r>
          </w:p>
        </w:tc>
        <w:tc>
          <w:tcPr>
            <w:tcW w:w="2814" w:type="dxa"/>
          </w:tcPr>
          <w:p w14:paraId="2C042C7B" w14:textId="77777777" w:rsidR="008720BC" w:rsidRPr="00112EE8" w:rsidRDefault="008720BC" w:rsidP="008720BC">
            <w:pPr>
              <w:spacing w:before="0" w:line="276" w:lineRule="auto"/>
              <w:rPr>
                <w:rFonts w:cs="Arial"/>
                <w:color w:val="000000" w:themeColor="text1"/>
                <w:szCs w:val="20"/>
              </w:rPr>
            </w:pPr>
          </w:p>
        </w:tc>
        <w:tc>
          <w:tcPr>
            <w:tcW w:w="949" w:type="dxa"/>
          </w:tcPr>
          <w:p w14:paraId="372B38D6"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2936" w:type="dxa"/>
          </w:tcPr>
          <w:p w14:paraId="10302E88" w14:textId="77777777" w:rsidR="008720BC" w:rsidRPr="00112EE8" w:rsidRDefault="008720BC" w:rsidP="008720BC">
            <w:pPr>
              <w:spacing w:before="0" w:line="276" w:lineRule="auto"/>
              <w:rPr>
                <w:rFonts w:cs="Arial"/>
                <w:color w:val="000000" w:themeColor="text1"/>
                <w:szCs w:val="20"/>
              </w:rPr>
            </w:pPr>
          </w:p>
        </w:tc>
      </w:tr>
      <w:tr w:rsidR="008720BC" w:rsidRPr="00112EE8" w14:paraId="74BA751D" w14:textId="77777777" w:rsidTr="005A7612">
        <w:trPr>
          <w:trHeight w:val="300"/>
          <w:jc w:val="center"/>
        </w:trPr>
        <w:tc>
          <w:tcPr>
            <w:tcW w:w="2176" w:type="dxa"/>
          </w:tcPr>
          <w:p w14:paraId="479E9E54" w14:textId="56BF2288" w:rsidR="008720BC" w:rsidRPr="00112EE8" w:rsidRDefault="00EC792F" w:rsidP="008720BC">
            <w:pPr>
              <w:spacing w:before="0" w:line="276" w:lineRule="auto"/>
              <w:rPr>
                <w:rFonts w:cs="Arial"/>
                <w:color w:val="000000" w:themeColor="text1"/>
                <w:szCs w:val="20"/>
              </w:rPr>
            </w:pPr>
            <w:r w:rsidRPr="00112EE8">
              <w:rPr>
                <w:rFonts w:cs="Arial"/>
                <w:color w:val="000000" w:themeColor="text1"/>
                <w:szCs w:val="20"/>
              </w:rPr>
              <w:t>Local Authority</w:t>
            </w:r>
          </w:p>
        </w:tc>
        <w:tc>
          <w:tcPr>
            <w:tcW w:w="6699" w:type="dxa"/>
            <w:gridSpan w:val="3"/>
          </w:tcPr>
          <w:p w14:paraId="2B2CE784" w14:textId="77777777" w:rsidR="008720BC" w:rsidRPr="00112EE8" w:rsidRDefault="008720BC" w:rsidP="008720BC">
            <w:pPr>
              <w:spacing w:before="0" w:line="276" w:lineRule="auto"/>
              <w:rPr>
                <w:rFonts w:cs="Arial"/>
                <w:color w:val="000000" w:themeColor="text1"/>
                <w:szCs w:val="20"/>
              </w:rPr>
            </w:pPr>
          </w:p>
        </w:tc>
      </w:tr>
    </w:tbl>
    <w:p w14:paraId="302BC24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8F4533B" w14:textId="3AFF5252" w:rsidR="008720BC" w:rsidRPr="00112EE8" w:rsidRDefault="00E809F7"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112EE8" w:rsidRPr="00112EE8" w14:paraId="2D8B3600" w14:textId="77777777" w:rsidTr="005A7612">
        <w:trPr>
          <w:jc w:val="center"/>
        </w:trPr>
        <w:tc>
          <w:tcPr>
            <w:tcW w:w="2722" w:type="dxa"/>
          </w:tcPr>
          <w:p w14:paraId="3029E89C"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52CD6AE8" w14:textId="77777777" w:rsidR="008720BC" w:rsidRPr="00112EE8" w:rsidRDefault="008720BC" w:rsidP="008720BC">
            <w:pPr>
              <w:spacing w:before="0" w:line="276" w:lineRule="auto"/>
              <w:rPr>
                <w:rFonts w:cs="Arial"/>
                <w:color w:val="000000" w:themeColor="text1"/>
                <w:szCs w:val="20"/>
              </w:rPr>
            </w:pPr>
          </w:p>
        </w:tc>
      </w:tr>
      <w:tr w:rsidR="00112EE8" w:rsidRPr="00112EE8" w14:paraId="1B958F6A" w14:textId="77777777" w:rsidTr="005A7612">
        <w:trPr>
          <w:jc w:val="center"/>
        </w:trPr>
        <w:tc>
          <w:tcPr>
            <w:tcW w:w="2722" w:type="dxa"/>
          </w:tcPr>
          <w:p w14:paraId="50A3712B"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2939704A" w14:textId="77777777" w:rsidR="008720BC" w:rsidRPr="00112EE8" w:rsidRDefault="008720BC" w:rsidP="008720BC">
            <w:pPr>
              <w:spacing w:before="0" w:line="276" w:lineRule="auto"/>
              <w:rPr>
                <w:rFonts w:cs="Arial"/>
                <w:color w:val="000000" w:themeColor="text1"/>
                <w:szCs w:val="20"/>
              </w:rPr>
            </w:pPr>
          </w:p>
        </w:tc>
      </w:tr>
      <w:tr w:rsidR="00112EE8" w:rsidRPr="00112EE8" w14:paraId="3AB2F065" w14:textId="77777777" w:rsidTr="005A7612">
        <w:trPr>
          <w:jc w:val="center"/>
        </w:trPr>
        <w:tc>
          <w:tcPr>
            <w:tcW w:w="2722" w:type="dxa"/>
          </w:tcPr>
          <w:p w14:paraId="29A49E92" w14:textId="4B51B573" w:rsidR="008720BC" w:rsidRPr="00112EE8" w:rsidRDefault="00E12FD8" w:rsidP="008720BC">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2B641CD5" w14:textId="77777777" w:rsidR="008720BC" w:rsidRPr="00112EE8" w:rsidRDefault="008720BC" w:rsidP="008720BC">
            <w:pPr>
              <w:spacing w:before="0" w:line="276" w:lineRule="auto"/>
              <w:rPr>
                <w:rFonts w:cs="Arial"/>
                <w:color w:val="000000" w:themeColor="text1"/>
                <w:szCs w:val="20"/>
              </w:rPr>
            </w:pPr>
          </w:p>
        </w:tc>
      </w:tr>
      <w:tr w:rsidR="00112EE8" w:rsidRPr="00112EE8" w14:paraId="15003F9E" w14:textId="77777777" w:rsidTr="005A7612">
        <w:trPr>
          <w:jc w:val="center"/>
        </w:trPr>
        <w:tc>
          <w:tcPr>
            <w:tcW w:w="2722" w:type="dxa"/>
          </w:tcPr>
          <w:p w14:paraId="7DBD246F" w14:textId="47508CA9" w:rsidR="008720BC" w:rsidRPr="00112EE8" w:rsidRDefault="00AF6A2C" w:rsidP="008720BC">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5C2BBD0B" w14:textId="77777777" w:rsidR="008720BC" w:rsidRPr="00112EE8" w:rsidRDefault="008720BC" w:rsidP="008720BC">
            <w:pPr>
              <w:spacing w:before="0" w:line="276" w:lineRule="auto"/>
              <w:rPr>
                <w:rFonts w:cs="Arial"/>
                <w:color w:val="000000" w:themeColor="text1"/>
                <w:szCs w:val="20"/>
              </w:rPr>
            </w:pPr>
          </w:p>
        </w:tc>
      </w:tr>
      <w:tr w:rsidR="00161F29" w:rsidRPr="00112EE8" w14:paraId="6BA1BC0A" w14:textId="77777777" w:rsidTr="005A7612">
        <w:trPr>
          <w:jc w:val="center"/>
        </w:trPr>
        <w:tc>
          <w:tcPr>
            <w:tcW w:w="2722" w:type="dxa"/>
          </w:tcPr>
          <w:p w14:paraId="3846FDE9" w14:textId="6C2B8367" w:rsidR="00161F29" w:rsidRPr="00112EE8" w:rsidRDefault="00D3262B" w:rsidP="008720BC">
            <w:pPr>
              <w:spacing w:before="0" w:line="276" w:lineRule="auto"/>
              <w:rPr>
                <w:color w:val="000000" w:themeColor="text1"/>
                <w:szCs w:val="20"/>
              </w:rPr>
            </w:pPr>
            <w:r w:rsidRPr="00112EE8">
              <w:rPr>
                <w:color w:val="000000" w:themeColor="text1"/>
                <w:szCs w:val="20"/>
              </w:rPr>
              <w:t>School role/s including teaching group(s) in 202</w:t>
            </w:r>
            <w:r w:rsidR="009544A8">
              <w:rPr>
                <w:color w:val="000000" w:themeColor="text1"/>
                <w:szCs w:val="20"/>
              </w:rPr>
              <w:t>2</w:t>
            </w:r>
            <w:r w:rsidRPr="00112EE8">
              <w:rPr>
                <w:color w:val="000000" w:themeColor="text1"/>
                <w:szCs w:val="20"/>
              </w:rPr>
              <w:t>/2</w:t>
            </w:r>
            <w:r w:rsidR="009544A8">
              <w:rPr>
                <w:color w:val="000000" w:themeColor="text1"/>
                <w:szCs w:val="20"/>
              </w:rPr>
              <w:t>3</w:t>
            </w:r>
          </w:p>
        </w:tc>
        <w:tc>
          <w:tcPr>
            <w:tcW w:w="6186" w:type="dxa"/>
          </w:tcPr>
          <w:p w14:paraId="16879D14" w14:textId="77777777" w:rsidR="00161F29" w:rsidRPr="00112EE8" w:rsidRDefault="00161F29" w:rsidP="008720BC">
            <w:pPr>
              <w:spacing w:before="0" w:line="276" w:lineRule="auto"/>
              <w:rPr>
                <w:color w:val="000000" w:themeColor="text1"/>
                <w:szCs w:val="20"/>
              </w:rPr>
            </w:pPr>
          </w:p>
        </w:tc>
      </w:tr>
    </w:tbl>
    <w:p w14:paraId="4595441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033C30DA" w14:textId="26C58775" w:rsidR="00210B0F" w:rsidRPr="00112EE8" w:rsidRDefault="00210B0F"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112EE8" w:rsidRPr="00112EE8" w14:paraId="02FD1A83" w14:textId="77777777" w:rsidTr="00775AE8">
        <w:trPr>
          <w:jc w:val="center"/>
        </w:trPr>
        <w:tc>
          <w:tcPr>
            <w:tcW w:w="2722" w:type="dxa"/>
          </w:tcPr>
          <w:p w14:paraId="372ABD24"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7DA6CC6B" w14:textId="77777777" w:rsidR="00210B0F" w:rsidRPr="00112EE8" w:rsidRDefault="00210B0F" w:rsidP="00775AE8">
            <w:pPr>
              <w:spacing w:before="0" w:line="276" w:lineRule="auto"/>
              <w:rPr>
                <w:rFonts w:cs="Arial"/>
                <w:color w:val="000000" w:themeColor="text1"/>
                <w:szCs w:val="20"/>
              </w:rPr>
            </w:pPr>
          </w:p>
        </w:tc>
      </w:tr>
      <w:tr w:rsidR="00112EE8" w:rsidRPr="00112EE8" w14:paraId="28438B2B" w14:textId="77777777" w:rsidTr="00775AE8">
        <w:trPr>
          <w:jc w:val="center"/>
        </w:trPr>
        <w:tc>
          <w:tcPr>
            <w:tcW w:w="2722" w:type="dxa"/>
          </w:tcPr>
          <w:p w14:paraId="42EECDF6"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5E601CF3" w14:textId="77777777" w:rsidR="00210B0F" w:rsidRPr="00112EE8" w:rsidRDefault="00210B0F" w:rsidP="00775AE8">
            <w:pPr>
              <w:spacing w:before="0" w:line="276" w:lineRule="auto"/>
              <w:rPr>
                <w:rFonts w:cs="Arial"/>
                <w:color w:val="000000" w:themeColor="text1"/>
                <w:szCs w:val="20"/>
              </w:rPr>
            </w:pPr>
          </w:p>
        </w:tc>
      </w:tr>
      <w:tr w:rsidR="00112EE8" w:rsidRPr="00112EE8" w14:paraId="466CF562" w14:textId="77777777" w:rsidTr="00775AE8">
        <w:trPr>
          <w:jc w:val="center"/>
        </w:trPr>
        <w:tc>
          <w:tcPr>
            <w:tcW w:w="2722" w:type="dxa"/>
          </w:tcPr>
          <w:p w14:paraId="423EB1E2"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7A3B0CF4" w14:textId="77777777" w:rsidR="00210B0F" w:rsidRPr="00112EE8" w:rsidRDefault="00210B0F" w:rsidP="00775AE8">
            <w:pPr>
              <w:spacing w:before="0" w:line="276" w:lineRule="auto"/>
              <w:rPr>
                <w:rFonts w:cs="Arial"/>
                <w:color w:val="000000" w:themeColor="text1"/>
                <w:szCs w:val="20"/>
              </w:rPr>
            </w:pPr>
          </w:p>
        </w:tc>
      </w:tr>
      <w:tr w:rsidR="00112EE8" w:rsidRPr="00112EE8" w14:paraId="0BA0BCD4" w14:textId="77777777" w:rsidTr="00775AE8">
        <w:trPr>
          <w:jc w:val="center"/>
        </w:trPr>
        <w:tc>
          <w:tcPr>
            <w:tcW w:w="2722" w:type="dxa"/>
          </w:tcPr>
          <w:p w14:paraId="5D0E9D79"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14BC01E0" w14:textId="77777777" w:rsidR="00210B0F" w:rsidRPr="00112EE8" w:rsidRDefault="00210B0F" w:rsidP="00775AE8">
            <w:pPr>
              <w:spacing w:before="0" w:line="276" w:lineRule="auto"/>
              <w:rPr>
                <w:rFonts w:cs="Arial"/>
                <w:color w:val="000000" w:themeColor="text1"/>
                <w:szCs w:val="20"/>
              </w:rPr>
            </w:pPr>
          </w:p>
        </w:tc>
      </w:tr>
      <w:tr w:rsidR="00210B0F" w:rsidRPr="00112EE8" w14:paraId="50C17DDA" w14:textId="77777777" w:rsidTr="00775AE8">
        <w:trPr>
          <w:jc w:val="center"/>
        </w:trPr>
        <w:tc>
          <w:tcPr>
            <w:tcW w:w="2722" w:type="dxa"/>
          </w:tcPr>
          <w:p w14:paraId="3078CB50" w14:textId="164AFEAD" w:rsidR="00210B0F" w:rsidRPr="00112EE8" w:rsidRDefault="00210B0F" w:rsidP="00775AE8">
            <w:pPr>
              <w:spacing w:before="0" w:line="276" w:lineRule="auto"/>
              <w:rPr>
                <w:color w:val="000000" w:themeColor="text1"/>
                <w:szCs w:val="20"/>
              </w:rPr>
            </w:pPr>
            <w:r w:rsidRPr="00112EE8">
              <w:rPr>
                <w:color w:val="000000" w:themeColor="text1"/>
                <w:szCs w:val="20"/>
              </w:rPr>
              <w:t>School role/s including teaching group(s) in 202</w:t>
            </w:r>
            <w:r w:rsidR="009544A8">
              <w:rPr>
                <w:color w:val="000000" w:themeColor="text1"/>
                <w:szCs w:val="20"/>
              </w:rPr>
              <w:t>2</w:t>
            </w:r>
            <w:r w:rsidRPr="00112EE8">
              <w:rPr>
                <w:color w:val="000000" w:themeColor="text1"/>
                <w:szCs w:val="20"/>
              </w:rPr>
              <w:t>/2</w:t>
            </w:r>
            <w:r w:rsidR="009544A8">
              <w:rPr>
                <w:color w:val="000000" w:themeColor="text1"/>
                <w:szCs w:val="20"/>
              </w:rPr>
              <w:t>3</w:t>
            </w:r>
          </w:p>
        </w:tc>
        <w:tc>
          <w:tcPr>
            <w:tcW w:w="6186" w:type="dxa"/>
          </w:tcPr>
          <w:p w14:paraId="251C7BAE" w14:textId="77777777" w:rsidR="00210B0F" w:rsidRPr="00112EE8" w:rsidRDefault="00210B0F" w:rsidP="00775AE8">
            <w:pPr>
              <w:spacing w:before="0" w:line="276" w:lineRule="auto"/>
              <w:rPr>
                <w:color w:val="000000" w:themeColor="text1"/>
                <w:szCs w:val="20"/>
              </w:rPr>
            </w:pPr>
          </w:p>
        </w:tc>
      </w:tr>
    </w:tbl>
    <w:p w14:paraId="091A48BD"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065406B" w14:textId="35CFAFAE" w:rsidR="008720BC" w:rsidRPr="00112EE8" w:rsidRDefault="00857F22" w:rsidP="008720BC">
      <w:pPr>
        <w:spacing w:before="0" w:after="60" w:line="240" w:lineRule="auto"/>
        <w:rPr>
          <w:rFonts w:eastAsia="Calibri"/>
          <w:b/>
          <w:i/>
          <w:iCs/>
          <w:color w:val="000000" w:themeColor="text1"/>
          <w:szCs w:val="20"/>
          <w:lang w:eastAsia="en-US"/>
        </w:rPr>
      </w:pPr>
      <w:r w:rsidRPr="00112EE8">
        <w:rPr>
          <w:rFonts w:eastAsia="Calibri"/>
          <w:b/>
          <w:color w:val="000000" w:themeColor="text1"/>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2EE8" w:rsidRPr="00112EE8" w14:paraId="43C7EBC2" w14:textId="77777777" w:rsidTr="003E6018">
        <w:trPr>
          <w:trHeight w:val="489"/>
          <w:jc w:val="center"/>
        </w:trPr>
        <w:tc>
          <w:tcPr>
            <w:tcW w:w="8980" w:type="dxa"/>
          </w:tcPr>
          <w:p w14:paraId="5E8F8AAD" w14:textId="147BA9B4" w:rsidR="00116318" w:rsidRPr="00112EE8" w:rsidRDefault="00116318" w:rsidP="00116318">
            <w:pPr>
              <w:spacing w:before="0" w:line="240" w:lineRule="auto"/>
              <w:rPr>
                <w:rFonts w:cs="Arial"/>
                <w:color w:val="000000" w:themeColor="text1"/>
                <w:szCs w:val="20"/>
              </w:rPr>
            </w:pPr>
            <w:r w:rsidRPr="00112EE8">
              <w:rPr>
                <w:rFonts w:cs="Arial"/>
                <w:color w:val="000000" w:themeColor="text1"/>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112EE8" w14:paraId="6B214243" w14:textId="77777777" w:rsidTr="003E6018">
        <w:trPr>
          <w:trHeight w:val="489"/>
          <w:jc w:val="center"/>
        </w:trPr>
        <w:tc>
          <w:tcPr>
            <w:tcW w:w="8980" w:type="dxa"/>
          </w:tcPr>
          <w:p w14:paraId="7FAB5678" w14:textId="77777777" w:rsidR="00116318" w:rsidRPr="00112EE8" w:rsidRDefault="00116318" w:rsidP="008720BC">
            <w:pPr>
              <w:spacing w:before="0" w:line="240" w:lineRule="auto"/>
              <w:jc w:val="center"/>
              <w:rPr>
                <w:color w:val="000000" w:themeColor="text1"/>
                <w:szCs w:val="20"/>
              </w:rPr>
            </w:pPr>
          </w:p>
        </w:tc>
      </w:tr>
    </w:tbl>
    <w:p w14:paraId="62EA9483"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18468F27" w14:textId="77777777" w:rsidR="003F72C3" w:rsidRPr="00112EE8" w:rsidRDefault="003F72C3">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br w:type="page"/>
      </w:r>
    </w:p>
    <w:p w14:paraId="0303CB7C" w14:textId="57DEC55E" w:rsidR="004B4722" w:rsidRPr="00112EE8" w:rsidRDefault="004B4722" w:rsidP="004B4722">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lastRenderedPageBreak/>
        <w:t>Group Applications</w:t>
      </w:r>
    </w:p>
    <w:p w14:paraId="5C50571B" w14:textId="39F07264" w:rsidR="008720BC" w:rsidRPr="00112EE8" w:rsidRDefault="004B4722" w:rsidP="004B4722">
      <w:pPr>
        <w:spacing w:before="0" w:line="276" w:lineRule="auto"/>
        <w:rPr>
          <w:rFonts w:eastAsia="Calibri"/>
          <w:color w:val="000000" w:themeColor="text1"/>
          <w:szCs w:val="20"/>
          <w:lang w:val="en-US" w:eastAsia="en-US"/>
        </w:rPr>
      </w:pPr>
      <w:r w:rsidRPr="00112EE8">
        <w:rPr>
          <w:rFonts w:eastAsia="Calibri"/>
          <w:color w:val="000000" w:themeColor="text1"/>
          <w:szCs w:val="20"/>
          <w:lang w:val="en-US" w:eastAsia="en-US"/>
        </w:rPr>
        <w:t xml:space="preserve">There is the opportunity to engage in the programme with other schools that you already work with, for example as part of an Academy Trust or local cluster of schools. </w:t>
      </w:r>
      <w:r w:rsidRPr="00112EE8">
        <w:rPr>
          <w:rFonts w:eastAsia="Calibri"/>
          <w:b/>
          <w:bCs w:val="0"/>
          <w:color w:val="000000" w:themeColor="text1"/>
          <w:szCs w:val="20"/>
          <w:lang w:val="en-US" w:eastAsia="en-US"/>
        </w:rPr>
        <w:t>Each school must still make an individual application, but you can indicate below the schools you would like to be placed with.</w:t>
      </w:r>
      <w:r w:rsidRPr="00112EE8">
        <w:rPr>
          <w:rFonts w:eastAsia="Calibri"/>
          <w:color w:val="000000" w:themeColor="text1"/>
          <w:szCs w:val="20"/>
          <w:lang w:val="en-US" w:eastAsia="en-US"/>
        </w:rPr>
        <w:t xml:space="preserve"> Please note this request cannot be guaranteed but the Maths Hub will take it into consideration in the selection process.</w:t>
      </w:r>
    </w:p>
    <w:p w14:paraId="429352DF" w14:textId="77777777" w:rsidR="008720BC" w:rsidRPr="00112EE8" w:rsidRDefault="008720BC" w:rsidP="008720BC">
      <w:pPr>
        <w:spacing w:before="0" w:line="276" w:lineRule="auto"/>
        <w:rPr>
          <w:rFonts w:eastAsia="Calibri"/>
          <w:b/>
          <w:bCs w:val="0"/>
          <w:color w:val="000000" w:themeColor="text1"/>
          <w:szCs w:val="20"/>
          <w:lang w:val="en-US" w:eastAsia="en-US"/>
        </w:rPr>
      </w:pPr>
    </w:p>
    <w:tbl>
      <w:tblPr>
        <w:tblStyle w:val="TableGrid1"/>
        <w:tblW w:w="0" w:type="auto"/>
        <w:jc w:val="center"/>
        <w:tblLook w:val="04A0" w:firstRow="1" w:lastRow="0" w:firstColumn="1" w:lastColumn="0" w:noHBand="0" w:noVBand="1"/>
      </w:tblPr>
      <w:tblGrid>
        <w:gridCol w:w="8980"/>
      </w:tblGrid>
      <w:tr w:rsidR="00112EE8" w:rsidRPr="00112EE8" w14:paraId="2B78B1E2" w14:textId="77777777" w:rsidTr="00775AE8">
        <w:trPr>
          <w:trHeight w:val="489"/>
          <w:jc w:val="center"/>
        </w:trPr>
        <w:tc>
          <w:tcPr>
            <w:tcW w:w="8980" w:type="dxa"/>
          </w:tcPr>
          <w:p w14:paraId="3DDEE80B" w14:textId="035C1DB6"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We wish to be considered as part of a group application: Yes/No</w:t>
            </w:r>
          </w:p>
        </w:tc>
      </w:tr>
      <w:tr w:rsidR="00112EE8" w:rsidRPr="00112EE8" w14:paraId="33453FEF" w14:textId="77777777" w:rsidTr="00775AE8">
        <w:trPr>
          <w:trHeight w:val="489"/>
          <w:jc w:val="center"/>
        </w:trPr>
        <w:tc>
          <w:tcPr>
            <w:tcW w:w="8980" w:type="dxa"/>
          </w:tcPr>
          <w:p w14:paraId="504CF44E" w14:textId="7FEC87E9"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Please name the schools you would like to be placed with:</w:t>
            </w:r>
          </w:p>
        </w:tc>
      </w:tr>
      <w:tr w:rsidR="00F64178" w:rsidRPr="00112EE8" w14:paraId="1C07B8DF" w14:textId="77777777" w:rsidTr="00775AE8">
        <w:trPr>
          <w:trHeight w:val="489"/>
          <w:jc w:val="center"/>
        </w:trPr>
        <w:tc>
          <w:tcPr>
            <w:tcW w:w="8980" w:type="dxa"/>
          </w:tcPr>
          <w:p w14:paraId="6C291C7D" w14:textId="77777777" w:rsidR="009D254D" w:rsidRPr="00112EE8" w:rsidRDefault="009D254D" w:rsidP="009D254D">
            <w:pPr>
              <w:pStyle w:val="NoSpacing"/>
              <w:rPr>
                <w:rFonts w:cs="Arial"/>
                <w:color w:val="000000" w:themeColor="text1"/>
              </w:rPr>
            </w:pPr>
            <w:r w:rsidRPr="00112EE8">
              <w:rPr>
                <w:rFonts w:cs="Arial"/>
                <w:color w:val="000000" w:themeColor="text1"/>
              </w:rPr>
              <w:t>Please describe your relationship to the schools named above:</w:t>
            </w:r>
          </w:p>
          <w:p w14:paraId="4F200FB7" w14:textId="77777777" w:rsidR="00F64178" w:rsidRPr="00112EE8" w:rsidRDefault="00F64178" w:rsidP="009D254D">
            <w:pPr>
              <w:spacing w:before="0" w:line="240" w:lineRule="auto"/>
              <w:rPr>
                <w:rFonts w:cs="Arial"/>
                <w:color w:val="000000" w:themeColor="text1"/>
                <w:szCs w:val="20"/>
              </w:rPr>
            </w:pPr>
          </w:p>
        </w:tc>
      </w:tr>
    </w:tbl>
    <w:p w14:paraId="112A87C5" w14:textId="6DE2A852" w:rsidR="008720BC" w:rsidRPr="00112EE8" w:rsidRDefault="008720BC" w:rsidP="008720BC">
      <w:pPr>
        <w:spacing w:before="0" w:line="276" w:lineRule="auto"/>
        <w:rPr>
          <w:rFonts w:eastAsia="Calibri"/>
          <w:b/>
          <w:bCs w:val="0"/>
          <w:color w:val="000000" w:themeColor="text1"/>
          <w:szCs w:val="20"/>
          <w:lang w:val="en-US" w:eastAsia="en-US"/>
        </w:rPr>
      </w:pPr>
    </w:p>
    <w:p w14:paraId="2B603705" w14:textId="77777777" w:rsidR="007F7638" w:rsidRPr="00112EE8" w:rsidRDefault="007F7638" w:rsidP="008720BC">
      <w:pPr>
        <w:spacing w:before="0" w:line="276" w:lineRule="auto"/>
        <w:rPr>
          <w:rFonts w:eastAsia="Calibri"/>
          <w:b/>
          <w:bCs w:val="0"/>
          <w:color w:val="000000" w:themeColor="text1"/>
          <w:szCs w:val="20"/>
          <w:lang w:val="en-US" w:eastAsia="en-US"/>
        </w:rPr>
      </w:pPr>
    </w:p>
    <w:p w14:paraId="253E6B83" w14:textId="00319EDE" w:rsidR="007F7638" w:rsidRPr="00112EE8" w:rsidRDefault="007F7638" w:rsidP="007F7638">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 xml:space="preserve">Confirmation of school commitment (electronic signatures) </w:t>
      </w:r>
    </w:p>
    <w:p w14:paraId="66AF405A" w14:textId="77777777" w:rsidR="007F7638" w:rsidRPr="00112EE8" w:rsidRDefault="007F7638" w:rsidP="007F7638">
      <w:pPr>
        <w:spacing w:before="0" w:line="240" w:lineRule="auto"/>
        <w:rPr>
          <w:rFonts w:eastAsia="Calibri"/>
          <w:color w:val="000000" w:themeColor="text1"/>
          <w:szCs w:val="20"/>
          <w:lang w:val="en-US" w:eastAsia="en-US"/>
        </w:rPr>
      </w:pPr>
      <w:r w:rsidRPr="00112EE8">
        <w:rPr>
          <w:rFonts w:eastAsia="Calibri"/>
          <w:color w:val="000000" w:themeColor="text1"/>
          <w:szCs w:val="20"/>
          <w:lang w:val="en-US" w:eastAsia="en-US"/>
        </w:rPr>
        <w:t>If we are chosen to participate in the Work Group, we understand and commit to the following expectations:</w:t>
      </w:r>
    </w:p>
    <w:p w14:paraId="6C44ACA3"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receive a minimum of ten (combined) days’ release time for development work including the above meetings</w:t>
      </w:r>
    </w:p>
    <w:p w14:paraId="0B2CE944"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headteacher will meet with the Mastery Specialist and the Maths Hub’s leadership as well as working with the other Work Group school headteachers</w:t>
      </w:r>
    </w:p>
    <w:p w14:paraId="54FD7FF6"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provide any reports required by the Maths Hub and participate in any evaluation processes required</w:t>
      </w:r>
    </w:p>
    <w:p w14:paraId="147496E6" w14:textId="4D6614D8" w:rsidR="008720BC" w:rsidRPr="00112EE8" w:rsidRDefault="007F7638" w:rsidP="00082CC9">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continue to collaborate with the Embedding and Sustaining Work Groups in 202</w:t>
      </w:r>
      <w:r w:rsidR="009544A8">
        <w:rPr>
          <w:rFonts w:eastAsia="Calibri"/>
          <w:color w:val="000000" w:themeColor="text1"/>
          <w:szCs w:val="20"/>
          <w:lang w:val="en-US" w:eastAsia="en-US"/>
        </w:rPr>
        <w:t>3</w:t>
      </w:r>
      <w:r w:rsidRPr="00112EE8">
        <w:rPr>
          <w:rFonts w:eastAsia="Calibri"/>
          <w:color w:val="000000" w:themeColor="text1"/>
          <w:szCs w:val="20"/>
          <w:lang w:val="en-US" w:eastAsia="en-US"/>
        </w:rPr>
        <w:t>/2</w:t>
      </w:r>
      <w:r w:rsidR="009544A8">
        <w:rPr>
          <w:rFonts w:eastAsia="Calibri"/>
          <w:color w:val="000000" w:themeColor="text1"/>
          <w:szCs w:val="20"/>
          <w:lang w:val="en-US" w:eastAsia="en-US"/>
        </w:rPr>
        <w:t>4</w:t>
      </w:r>
      <w:r w:rsidRPr="00112EE8">
        <w:rPr>
          <w:rFonts w:eastAsia="Calibri"/>
          <w:color w:val="000000" w:themeColor="text1"/>
          <w:szCs w:val="20"/>
          <w:lang w:val="en-US" w:eastAsia="en-US"/>
        </w:rPr>
        <w:t xml:space="preserve"> and beyond.</w:t>
      </w:r>
    </w:p>
    <w:p w14:paraId="57CDA894" w14:textId="77777777" w:rsidR="008720BC" w:rsidRPr="00112EE8" w:rsidRDefault="008720BC" w:rsidP="008720BC">
      <w:pPr>
        <w:spacing w:before="0" w:line="276" w:lineRule="auto"/>
        <w:rPr>
          <w:rFonts w:eastAsia="Calibri"/>
          <w:bCs w:val="0"/>
          <w:color w:val="000000" w:themeColor="text1"/>
          <w:szCs w:val="20"/>
          <w:lang w:val="en-US" w:eastAsia="en-US"/>
        </w:rPr>
      </w:pPr>
    </w:p>
    <w:p w14:paraId="569B6FAB" w14:textId="77777777" w:rsidR="008720BC" w:rsidRPr="00112EE8"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112EE8" w:rsidRPr="00112EE8" w14:paraId="238DF19B" w14:textId="77777777" w:rsidTr="005A7612">
        <w:tc>
          <w:tcPr>
            <w:tcW w:w="2552" w:type="dxa"/>
            <w:vAlign w:val="center"/>
          </w:tcPr>
          <w:p w14:paraId="2417D2BB" w14:textId="3D8C2E5E" w:rsidR="008720BC" w:rsidRPr="00112EE8" w:rsidRDefault="008720BC" w:rsidP="008720BC">
            <w:pPr>
              <w:spacing w:before="60" w:after="60" w:line="276" w:lineRule="auto"/>
              <w:rPr>
                <w:rFonts w:cs="Arial"/>
                <w:color w:val="000000" w:themeColor="text1"/>
                <w:szCs w:val="20"/>
              </w:rPr>
            </w:pPr>
            <w:r w:rsidRPr="00112EE8">
              <w:rPr>
                <w:rFonts w:cs="Arial"/>
                <w:color w:val="000000" w:themeColor="text1"/>
                <w:szCs w:val="20"/>
              </w:rPr>
              <w:t>Headteacher/senior leader</w:t>
            </w:r>
          </w:p>
        </w:tc>
        <w:tc>
          <w:tcPr>
            <w:tcW w:w="6350" w:type="dxa"/>
            <w:vAlign w:val="center"/>
          </w:tcPr>
          <w:p w14:paraId="40FC2115" w14:textId="0AB0D947"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Signature of headteacher</w:t>
            </w:r>
          </w:p>
        </w:tc>
      </w:tr>
      <w:tr w:rsidR="00112EE8" w:rsidRPr="00112EE8" w14:paraId="15695992" w14:textId="77777777" w:rsidTr="005A7612">
        <w:tc>
          <w:tcPr>
            <w:tcW w:w="2552" w:type="dxa"/>
            <w:vAlign w:val="center"/>
          </w:tcPr>
          <w:p w14:paraId="11B9B82A" w14:textId="5034F7F3"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1</w:t>
            </w:r>
          </w:p>
        </w:tc>
        <w:tc>
          <w:tcPr>
            <w:tcW w:w="6350" w:type="dxa"/>
            <w:vAlign w:val="center"/>
          </w:tcPr>
          <w:p w14:paraId="1CDAEAAB" w14:textId="7E1875C1"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1</w:t>
            </w:r>
          </w:p>
        </w:tc>
      </w:tr>
      <w:tr w:rsidR="008720BC" w:rsidRPr="00112EE8" w14:paraId="74030A55" w14:textId="77777777" w:rsidTr="005A7612">
        <w:tc>
          <w:tcPr>
            <w:tcW w:w="2552" w:type="dxa"/>
            <w:vAlign w:val="center"/>
          </w:tcPr>
          <w:p w14:paraId="059DF967" w14:textId="645AFD31"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2</w:t>
            </w:r>
          </w:p>
        </w:tc>
        <w:tc>
          <w:tcPr>
            <w:tcW w:w="6350" w:type="dxa"/>
            <w:vAlign w:val="center"/>
          </w:tcPr>
          <w:p w14:paraId="1875A336" w14:textId="64B33FB1" w:rsidR="008720BC" w:rsidRPr="00112EE8" w:rsidRDefault="008720BC" w:rsidP="008720BC">
            <w:pPr>
              <w:spacing w:before="60" w:after="60" w:line="276" w:lineRule="auto"/>
              <w:rPr>
                <w:rFonts w:cs="Arial"/>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2</w:t>
            </w:r>
          </w:p>
        </w:tc>
      </w:tr>
    </w:tbl>
    <w:p w14:paraId="33B0562A" w14:textId="77777777" w:rsidR="008720BC" w:rsidRPr="00112EE8" w:rsidRDefault="008720BC" w:rsidP="008720BC">
      <w:pPr>
        <w:spacing w:before="0" w:line="276" w:lineRule="auto"/>
        <w:rPr>
          <w:rFonts w:eastAsia="Calibri"/>
          <w:bCs w:val="0"/>
          <w:i/>
          <w:color w:val="000000" w:themeColor="text1"/>
          <w:szCs w:val="20"/>
          <w:lang w:val="en-US" w:eastAsia="en-US"/>
        </w:rPr>
      </w:pPr>
    </w:p>
    <w:p w14:paraId="0EE669B2" w14:textId="3CD3A320" w:rsidR="008720BC" w:rsidRPr="00112EE8" w:rsidRDefault="008720BC" w:rsidP="008720BC">
      <w:pPr>
        <w:spacing w:before="0" w:line="276" w:lineRule="auto"/>
        <w:rPr>
          <w:rFonts w:eastAsia="Calibri"/>
          <w:bCs w:val="0"/>
          <w:color w:val="000000" w:themeColor="text1"/>
          <w:szCs w:val="20"/>
          <w:lang w:eastAsia="en-US"/>
        </w:rPr>
      </w:pPr>
      <w:r w:rsidRPr="00112EE8">
        <w:rPr>
          <w:rFonts w:eastAsia="Calibri"/>
          <w:bCs w:val="0"/>
          <w:i/>
          <w:color w:val="000000" w:themeColor="text1"/>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3"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4"/>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r w:rsidR="007C61AC" w:rsidRPr="00611761">
        <w:t xml:space="preserve">North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DEA9" w14:textId="77777777" w:rsidR="00CA3EB6" w:rsidRDefault="00CA3EB6">
      <w:r>
        <w:separator/>
      </w:r>
    </w:p>
  </w:endnote>
  <w:endnote w:type="continuationSeparator" w:id="0">
    <w:p w14:paraId="4CF5439A" w14:textId="77777777" w:rsidR="00CA3EB6" w:rsidRDefault="00CA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5415" w14:textId="77777777" w:rsidR="00CA3EB6" w:rsidRDefault="00CA3EB6">
      <w:r>
        <w:separator/>
      </w:r>
    </w:p>
  </w:footnote>
  <w:footnote w:type="continuationSeparator" w:id="0">
    <w:p w14:paraId="7DDAC066" w14:textId="77777777" w:rsidR="00CA3EB6" w:rsidRDefault="00CA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376DE7D1">
          <wp:simplePos x="0" y="0"/>
          <wp:positionH relativeFrom="column">
            <wp:posOffset>3624174</wp:posOffset>
          </wp:positionH>
          <wp:positionV relativeFrom="paragraph">
            <wp:posOffset>-2540</wp:posOffset>
          </wp:positionV>
          <wp:extent cx="1681656" cy="535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656"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67FA"/>
    <w:rsid w:val="00026C6F"/>
    <w:rsid w:val="00035C47"/>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2EE8"/>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B1AF9"/>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C7411"/>
    <w:rsid w:val="002D7D97"/>
    <w:rsid w:val="002E4E1E"/>
    <w:rsid w:val="00300F8E"/>
    <w:rsid w:val="0030510F"/>
    <w:rsid w:val="00326F6A"/>
    <w:rsid w:val="003338C1"/>
    <w:rsid w:val="00370BA1"/>
    <w:rsid w:val="00372A06"/>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C2C1C"/>
    <w:rsid w:val="005D1EF8"/>
    <w:rsid w:val="005F2273"/>
    <w:rsid w:val="006019C4"/>
    <w:rsid w:val="00603EBA"/>
    <w:rsid w:val="00611761"/>
    <w:rsid w:val="00614DF9"/>
    <w:rsid w:val="00616298"/>
    <w:rsid w:val="0061747C"/>
    <w:rsid w:val="00637985"/>
    <w:rsid w:val="00644B1C"/>
    <w:rsid w:val="00646578"/>
    <w:rsid w:val="006679EF"/>
    <w:rsid w:val="006846BE"/>
    <w:rsid w:val="006A4BC1"/>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544A8"/>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6642"/>
    <w:rsid w:val="009F7E33"/>
    <w:rsid w:val="00A00E3E"/>
    <w:rsid w:val="00A03F9F"/>
    <w:rsid w:val="00A17C71"/>
    <w:rsid w:val="00A5325C"/>
    <w:rsid w:val="00A539D4"/>
    <w:rsid w:val="00A74A5B"/>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0FF2"/>
    <w:rsid w:val="00C121D4"/>
    <w:rsid w:val="00C24B2E"/>
    <w:rsid w:val="00C2713F"/>
    <w:rsid w:val="00C34A0F"/>
    <w:rsid w:val="00C40041"/>
    <w:rsid w:val="00C40957"/>
    <w:rsid w:val="00C418E9"/>
    <w:rsid w:val="00C42474"/>
    <w:rsid w:val="00C42D0E"/>
    <w:rsid w:val="00C42EF2"/>
    <w:rsid w:val="00C56727"/>
    <w:rsid w:val="00C84ACE"/>
    <w:rsid w:val="00C84C2C"/>
    <w:rsid w:val="00C85CAE"/>
    <w:rsid w:val="00CA060F"/>
    <w:rsid w:val="00CA210F"/>
    <w:rsid w:val="00CA2B8D"/>
    <w:rsid w:val="00CA3EB6"/>
    <w:rsid w:val="00CC2A6D"/>
    <w:rsid w:val="00CC5350"/>
    <w:rsid w:val="00CD4343"/>
    <w:rsid w:val="00CD77E5"/>
    <w:rsid w:val="00D0036C"/>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557C4"/>
    <w:rsid w:val="00E74201"/>
    <w:rsid w:val="00E809F7"/>
    <w:rsid w:val="00E80E67"/>
    <w:rsid w:val="00EA6BE6"/>
    <w:rsid w:val="00EC021A"/>
    <w:rsid w:val="00EC792F"/>
    <w:rsid w:val="00ED2116"/>
    <w:rsid w:val="00ED2179"/>
    <w:rsid w:val="00EE48C5"/>
    <w:rsid w:val="00EF4FCB"/>
    <w:rsid w:val="00EF64BF"/>
    <w:rsid w:val="00EF7016"/>
    <w:rsid w:val="00F029B3"/>
    <w:rsid w:val="00F05099"/>
    <w:rsid w:val="00F16051"/>
    <w:rsid w:val="00F45CB0"/>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maths-hubs/find-your-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1576</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4</cp:revision>
  <cp:lastPrinted>2006-10-20T09:58:00Z</cp:lastPrinted>
  <dcterms:created xsi:type="dcterms:W3CDTF">2022-03-21T08:32:00Z</dcterms:created>
  <dcterms:modified xsi:type="dcterms:W3CDTF">2022-05-21T10:45:00Z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